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93669" w14:textId="77777777" w:rsidR="000369DA" w:rsidRPr="00AE6615" w:rsidRDefault="000369DA" w:rsidP="00AE6615">
      <w:pPr>
        <w:pStyle w:val="Heading3"/>
        <w:rPr>
          <w:lang w:eastAsia="sv-SE"/>
        </w:rPr>
      </w:pPr>
      <w:r w:rsidRPr="00AE6615">
        <w:rPr>
          <w:lang w:eastAsia="sv-SE"/>
        </w:rPr>
        <w:t>Notice to attend the 202</w:t>
      </w:r>
      <w:r w:rsidR="00622A3F">
        <w:rPr>
          <w:lang w:eastAsia="sv-SE"/>
        </w:rPr>
        <w:t>5</w:t>
      </w:r>
      <w:r w:rsidRPr="00AE6615">
        <w:rPr>
          <w:lang w:eastAsia="sv-SE"/>
        </w:rPr>
        <w:t xml:space="preserve"> Annual General Meeting in 4C Group AB (</w:t>
      </w:r>
      <w:proofErr w:type="spellStart"/>
      <w:r w:rsidRPr="00AE6615">
        <w:rPr>
          <w:lang w:eastAsia="sv-SE"/>
        </w:rPr>
        <w:t>publ</w:t>
      </w:r>
      <w:proofErr w:type="spellEnd"/>
      <w:r w:rsidRPr="00AE6615">
        <w:rPr>
          <w:lang w:eastAsia="sv-SE"/>
        </w:rPr>
        <w:t>)</w:t>
      </w:r>
    </w:p>
    <w:p w14:paraId="4939376E" w14:textId="77777777" w:rsidR="005B4E2F" w:rsidRPr="00E664DE" w:rsidRDefault="005B4E2F" w:rsidP="001439B7"/>
    <w:p w14:paraId="33105645" w14:textId="77777777" w:rsidR="000369DA" w:rsidRPr="00E664DE" w:rsidRDefault="000369DA" w:rsidP="000369DA">
      <w:pPr>
        <w:spacing w:after="240"/>
        <w:jc w:val="both"/>
        <w:rPr>
          <w:lang w:val="en-US"/>
        </w:rPr>
      </w:pPr>
      <w:r w:rsidRPr="00E664DE">
        <w:rPr>
          <w:lang w:val="en-US"/>
        </w:rPr>
        <w:t>The shareholders of 4C Group AB (</w:t>
      </w:r>
      <w:proofErr w:type="spellStart"/>
      <w:r w:rsidRPr="00E664DE">
        <w:rPr>
          <w:lang w:val="en-US"/>
        </w:rPr>
        <w:t>publ</w:t>
      </w:r>
      <w:proofErr w:type="spellEnd"/>
      <w:r w:rsidRPr="00E664DE">
        <w:rPr>
          <w:lang w:val="en-US"/>
        </w:rPr>
        <w:t>), reg. no. 556706-0412, (the "</w:t>
      </w:r>
      <w:r w:rsidRPr="00E664DE">
        <w:rPr>
          <w:b/>
          <w:lang w:val="en-US"/>
        </w:rPr>
        <w:t>Company</w:t>
      </w:r>
      <w:r w:rsidRPr="00E664DE">
        <w:rPr>
          <w:lang w:val="en-US"/>
        </w:rPr>
        <w:t>") are hereby invited to the Annual General Meeting (the “</w:t>
      </w:r>
      <w:r w:rsidRPr="00E664DE">
        <w:rPr>
          <w:b/>
          <w:lang w:val="en-US"/>
        </w:rPr>
        <w:t>Meeting</w:t>
      </w:r>
      <w:r w:rsidRPr="00E664DE">
        <w:rPr>
          <w:lang w:val="en-US"/>
        </w:rPr>
        <w:t xml:space="preserve">”) on </w:t>
      </w:r>
      <w:r w:rsidR="007F4345">
        <w:rPr>
          <w:lang w:val="en-US"/>
        </w:rPr>
        <w:t xml:space="preserve">Wednesday </w:t>
      </w:r>
      <w:r w:rsidR="00B743A2">
        <w:rPr>
          <w:lang w:val="en-US"/>
        </w:rPr>
        <w:t>May</w:t>
      </w:r>
      <w:r w:rsidRPr="00E664DE">
        <w:rPr>
          <w:lang w:val="en-US"/>
        </w:rPr>
        <w:t xml:space="preserve"> </w:t>
      </w:r>
      <w:r w:rsidR="00622A3F">
        <w:rPr>
          <w:lang w:val="en-US"/>
        </w:rPr>
        <w:t>21</w:t>
      </w:r>
      <w:r w:rsidRPr="00E664DE">
        <w:rPr>
          <w:lang w:val="en-US"/>
        </w:rPr>
        <w:t>, 202</w:t>
      </w:r>
      <w:r w:rsidR="00622A3F">
        <w:rPr>
          <w:lang w:val="en-US"/>
        </w:rPr>
        <w:t>5</w:t>
      </w:r>
      <w:r w:rsidRPr="00E664DE">
        <w:rPr>
          <w:lang w:val="en-US"/>
        </w:rPr>
        <w:t>, at 1</w:t>
      </w:r>
      <w:r w:rsidR="00622A3F">
        <w:rPr>
          <w:lang w:val="en-US"/>
        </w:rPr>
        <w:t>7</w:t>
      </w:r>
      <w:r w:rsidRPr="00E664DE">
        <w:rPr>
          <w:lang w:val="en-US"/>
        </w:rPr>
        <w:t xml:space="preserve">.00 CET at </w:t>
      </w:r>
      <w:r w:rsidR="00B743A2">
        <w:rPr>
          <w:lang w:val="en-US"/>
        </w:rPr>
        <w:t>the Company</w:t>
      </w:r>
      <w:r w:rsidRPr="00E664DE">
        <w:rPr>
          <w:lang w:val="en-US"/>
        </w:rPr>
        <w:t xml:space="preserve">, </w:t>
      </w:r>
      <w:proofErr w:type="spellStart"/>
      <w:r w:rsidR="00B743A2">
        <w:rPr>
          <w:lang w:val="en-US"/>
        </w:rPr>
        <w:t>Vattugatan</w:t>
      </w:r>
      <w:proofErr w:type="spellEnd"/>
      <w:r w:rsidR="00B743A2">
        <w:rPr>
          <w:lang w:val="en-US"/>
        </w:rPr>
        <w:t xml:space="preserve"> 17,</w:t>
      </w:r>
      <w:r w:rsidRPr="00E664DE">
        <w:rPr>
          <w:lang w:val="en-US"/>
        </w:rPr>
        <w:t xml:space="preserve"> 111 </w:t>
      </w:r>
      <w:r w:rsidR="00B743A2">
        <w:rPr>
          <w:lang w:val="en-US"/>
        </w:rPr>
        <w:t>52</w:t>
      </w:r>
      <w:r w:rsidRPr="00E664DE">
        <w:rPr>
          <w:lang w:val="en-US"/>
        </w:rPr>
        <w:t xml:space="preserve"> Stockholm, Sweden.</w:t>
      </w:r>
    </w:p>
    <w:p w14:paraId="14CA70B5" w14:textId="77777777" w:rsidR="000369DA" w:rsidRPr="00E664DE" w:rsidRDefault="000369DA" w:rsidP="000369DA">
      <w:pPr>
        <w:pStyle w:val="ListParagraph"/>
        <w:numPr>
          <w:ilvl w:val="0"/>
          <w:numId w:val="22"/>
        </w:numPr>
        <w:rPr>
          <w:b/>
          <w:bCs/>
        </w:rPr>
      </w:pPr>
      <w:r w:rsidRPr="00E664DE">
        <w:rPr>
          <w:b/>
        </w:rPr>
        <w:t>Right to attend the Meeting</w:t>
      </w:r>
    </w:p>
    <w:p w14:paraId="355288DA" w14:textId="77777777" w:rsidR="00B743A2" w:rsidRPr="00B743A2" w:rsidRDefault="00B743A2" w:rsidP="00B743A2">
      <w:pPr>
        <w:jc w:val="both"/>
        <w:rPr>
          <w:rFonts w:cstheme="minorHAnsi"/>
          <w:iCs/>
        </w:rPr>
      </w:pPr>
      <w:r w:rsidRPr="00B743A2">
        <w:rPr>
          <w:rFonts w:cstheme="minorHAnsi"/>
          <w:iCs/>
        </w:rPr>
        <w:t xml:space="preserve">Shareholders wishing to attend the annual general meeting must on the record date, which is </w:t>
      </w:r>
      <w:r w:rsidR="007F4345">
        <w:rPr>
          <w:rFonts w:cstheme="minorHAnsi"/>
          <w:iCs/>
        </w:rPr>
        <w:t>Tuesday</w:t>
      </w:r>
      <w:r w:rsidRPr="00B743A2">
        <w:rPr>
          <w:rFonts w:cstheme="minorHAnsi"/>
          <w:iCs/>
        </w:rPr>
        <w:t xml:space="preserve"> </w:t>
      </w:r>
      <w:r w:rsidR="00622A3F">
        <w:rPr>
          <w:rFonts w:cstheme="minorHAnsi"/>
          <w:iCs/>
        </w:rPr>
        <w:t>1</w:t>
      </w:r>
      <w:r w:rsidR="007F4345">
        <w:rPr>
          <w:rFonts w:cstheme="minorHAnsi"/>
          <w:iCs/>
        </w:rPr>
        <w:t>3</w:t>
      </w:r>
      <w:r w:rsidRPr="00B743A2">
        <w:rPr>
          <w:rFonts w:cstheme="minorHAnsi"/>
          <w:iCs/>
        </w:rPr>
        <w:t xml:space="preserve"> May 202</w:t>
      </w:r>
      <w:r w:rsidR="00622A3F">
        <w:rPr>
          <w:rFonts w:cstheme="minorHAnsi"/>
          <w:iCs/>
        </w:rPr>
        <w:t>5</w:t>
      </w:r>
      <w:r w:rsidRPr="00B743A2">
        <w:rPr>
          <w:rFonts w:cstheme="minorHAnsi"/>
          <w:iCs/>
        </w:rPr>
        <w:t xml:space="preserve">, be registered in the share register maintained by Euroclear Sweden AB. Shareholders, whose shares are registered in the name of a nominee, must temporarily register the shares in their own name at Euroclear Sweden AB </w:t>
      </w:r>
      <w:proofErr w:type="gramStart"/>
      <w:r w:rsidRPr="00B743A2">
        <w:rPr>
          <w:rFonts w:cstheme="minorHAnsi"/>
          <w:iCs/>
        </w:rPr>
        <w:t>in order to</w:t>
      </w:r>
      <w:proofErr w:type="gramEnd"/>
      <w:r w:rsidRPr="00B743A2">
        <w:rPr>
          <w:rFonts w:cstheme="minorHAnsi"/>
          <w:iCs/>
        </w:rPr>
        <w:t xml:space="preserve"> be entitled to participate at the general meeting. Voting registration requested by a shareholder in such time that the registration has been made by the relevant nominee no later than on </w:t>
      </w:r>
      <w:r w:rsidR="007F4345">
        <w:rPr>
          <w:rFonts w:cstheme="minorHAnsi"/>
          <w:iCs/>
        </w:rPr>
        <w:t xml:space="preserve">Thursday </w:t>
      </w:r>
      <w:r w:rsidR="00622A3F">
        <w:rPr>
          <w:rFonts w:cstheme="minorHAnsi"/>
          <w:iCs/>
        </w:rPr>
        <w:t>1</w:t>
      </w:r>
      <w:r w:rsidR="007F4345">
        <w:rPr>
          <w:rFonts w:cstheme="minorHAnsi"/>
          <w:iCs/>
        </w:rPr>
        <w:t>5</w:t>
      </w:r>
      <w:r w:rsidRPr="00B743A2">
        <w:rPr>
          <w:rFonts w:cstheme="minorHAnsi"/>
          <w:iCs/>
        </w:rPr>
        <w:t xml:space="preserve"> May 202</w:t>
      </w:r>
      <w:r w:rsidR="00622A3F">
        <w:rPr>
          <w:rFonts w:cstheme="minorHAnsi"/>
          <w:iCs/>
        </w:rPr>
        <w:t>5</w:t>
      </w:r>
      <w:r w:rsidRPr="00B743A2">
        <w:rPr>
          <w:rFonts w:cstheme="minorHAnsi"/>
          <w:iCs/>
        </w:rPr>
        <w:t xml:space="preserve"> will be considered in preparations of the share register. Shareholders must also notify their participation in in accordance with below stated.</w:t>
      </w:r>
    </w:p>
    <w:p w14:paraId="3A58D668" w14:textId="77777777" w:rsidR="000369DA" w:rsidRPr="00E664DE" w:rsidRDefault="000369DA" w:rsidP="001439B7"/>
    <w:p w14:paraId="7D262AFF" w14:textId="77777777" w:rsidR="000369DA" w:rsidRPr="00E664DE" w:rsidRDefault="000369DA" w:rsidP="000369DA">
      <w:pPr>
        <w:pStyle w:val="ListParagraph"/>
        <w:numPr>
          <w:ilvl w:val="0"/>
          <w:numId w:val="23"/>
        </w:numPr>
        <w:rPr>
          <w:b/>
        </w:rPr>
      </w:pPr>
      <w:r w:rsidRPr="00E664DE">
        <w:rPr>
          <w:b/>
        </w:rPr>
        <w:t>Notification of attendance</w:t>
      </w:r>
    </w:p>
    <w:p w14:paraId="3C4C62F6" w14:textId="77777777" w:rsidR="00B743A2" w:rsidRPr="00B743A2" w:rsidRDefault="00B743A2" w:rsidP="00B743A2">
      <w:pPr>
        <w:spacing w:after="180"/>
        <w:jc w:val="both"/>
        <w:rPr>
          <w:lang w:val="en-US"/>
        </w:rPr>
      </w:pPr>
      <w:r w:rsidRPr="00B743A2">
        <w:rPr>
          <w:lang w:val="en-US"/>
        </w:rPr>
        <w:t xml:space="preserve">Shareholders wishing to attend the Meeting shall notify their and any counsel's participation (max 2) to the Company by e-mail to </w:t>
      </w:r>
      <w:hyperlink r:id="rId11" w:history="1">
        <w:r w:rsidRPr="00B743A2">
          <w:rPr>
            <w:rStyle w:val="Hyperlink"/>
            <w:lang w:val="en-US"/>
          </w:rPr>
          <w:t>AGM@4cstrategies.com</w:t>
        </w:r>
      </w:hyperlink>
      <w:r w:rsidRPr="00B743A2">
        <w:rPr>
          <w:lang w:val="en-US"/>
        </w:rPr>
        <w:t xml:space="preserve">, no later than on </w:t>
      </w:r>
      <w:r w:rsidR="007F4345">
        <w:rPr>
          <w:lang w:val="en-US"/>
        </w:rPr>
        <w:t>Thursday</w:t>
      </w:r>
      <w:r w:rsidRPr="00B743A2">
        <w:rPr>
          <w:lang w:val="en-US"/>
        </w:rPr>
        <w:t xml:space="preserve"> </w:t>
      </w:r>
      <w:r w:rsidR="00622A3F">
        <w:rPr>
          <w:lang w:val="en-US"/>
        </w:rPr>
        <w:t>1</w:t>
      </w:r>
      <w:r w:rsidR="007F4345">
        <w:rPr>
          <w:lang w:val="en-US"/>
        </w:rPr>
        <w:t>5</w:t>
      </w:r>
      <w:r w:rsidRPr="00B743A2">
        <w:rPr>
          <w:lang w:val="en-US"/>
        </w:rPr>
        <w:t xml:space="preserve"> May 202</w:t>
      </w:r>
      <w:r w:rsidR="00622A3F">
        <w:rPr>
          <w:lang w:val="en-US"/>
        </w:rPr>
        <w:t>5</w:t>
      </w:r>
      <w:r w:rsidRPr="00B743A2">
        <w:rPr>
          <w:lang w:val="en-US"/>
        </w:rPr>
        <w:t>. Notice of attendance shall include name, personal/ corporate identity number, shareholding, address and telephone number and, when applicable, information about representatives, counsels and assistants. When applicable, complete authorization documents, such as registration certificates and powers of attorney for representatives and assistants, should be appended the notification. A shareholder who wishes to be represented by proxy shall issue a written and dated proxy to the proxy holder. The proxy template is available on the Company’s webpage www.4cstrategies.com. If the proxy is issued by a legal entity, a certified copy of the registration certificate or corresponding document ("</w:t>
      </w:r>
      <w:r w:rsidRPr="00B743A2">
        <w:rPr>
          <w:b/>
          <w:lang w:val="en-US"/>
        </w:rPr>
        <w:t>Registration Certificate</w:t>
      </w:r>
      <w:r w:rsidRPr="00B743A2">
        <w:rPr>
          <w:lang w:val="en-US"/>
        </w:rPr>
        <w:t xml:space="preserve">") shall be enclosed. The proxy must not be more than one year </w:t>
      </w:r>
      <w:proofErr w:type="gramStart"/>
      <w:r w:rsidRPr="00B743A2">
        <w:rPr>
          <w:lang w:val="en-US"/>
        </w:rPr>
        <w:t>old,</w:t>
      </w:r>
      <w:proofErr w:type="gramEnd"/>
      <w:r w:rsidRPr="00B743A2">
        <w:rPr>
          <w:lang w:val="en-US"/>
        </w:rPr>
        <w:t xml:space="preserve"> however, the proxy may be older if it is stated that it is valid for a longer term, maximum five years. The proxy in original and the Registration Certificate, if any, must be available at the Meeting and shall well before the Meeting be sent to the Company by e-mail to the address stated above.</w:t>
      </w:r>
    </w:p>
    <w:p w14:paraId="597D479D" w14:textId="77777777" w:rsidR="000369DA" w:rsidRPr="00E664DE" w:rsidRDefault="000369DA" w:rsidP="000369DA">
      <w:pPr>
        <w:pStyle w:val="ListParagraph"/>
        <w:numPr>
          <w:ilvl w:val="0"/>
          <w:numId w:val="23"/>
        </w:numPr>
        <w:rPr>
          <w:b/>
          <w:bCs/>
        </w:rPr>
      </w:pPr>
      <w:r w:rsidRPr="00E664DE">
        <w:rPr>
          <w:b/>
          <w:bCs/>
        </w:rPr>
        <w:t xml:space="preserve">Draft </w:t>
      </w:r>
      <w:r w:rsidRPr="00E664DE">
        <w:rPr>
          <w:b/>
          <w:lang w:val="en-US"/>
        </w:rPr>
        <w:t>agenda</w:t>
      </w:r>
    </w:p>
    <w:p w14:paraId="3631407B" w14:textId="77777777" w:rsidR="00B743A2" w:rsidRPr="006D7DD5" w:rsidRDefault="00B743A2" w:rsidP="006D7DD5">
      <w:pPr>
        <w:pStyle w:val="BodyTextIndent"/>
        <w:numPr>
          <w:ilvl w:val="0"/>
          <w:numId w:val="38"/>
        </w:numPr>
        <w:spacing w:after="60" w:line="0" w:lineRule="atLeast"/>
        <w:rPr>
          <w:lang w:val="en-US"/>
        </w:rPr>
      </w:pPr>
      <w:r w:rsidRPr="006D7DD5">
        <w:rPr>
          <w:lang w:val="en-US"/>
        </w:rPr>
        <w:t>Opening of the Meeting and election of Chairman of the Meeting.</w:t>
      </w:r>
    </w:p>
    <w:p w14:paraId="1A837E7C" w14:textId="77777777" w:rsidR="00B743A2" w:rsidRPr="006D7DD5" w:rsidRDefault="00B743A2" w:rsidP="006D7DD5">
      <w:pPr>
        <w:pStyle w:val="BodyTextIndent"/>
        <w:numPr>
          <w:ilvl w:val="0"/>
          <w:numId w:val="38"/>
        </w:numPr>
        <w:spacing w:after="60" w:line="0" w:lineRule="atLeast"/>
        <w:rPr>
          <w:lang w:val="en-US"/>
        </w:rPr>
      </w:pPr>
      <w:r w:rsidRPr="006D7DD5">
        <w:rPr>
          <w:lang w:val="en-US"/>
        </w:rPr>
        <w:t>Preparation and approval of the voting register.</w:t>
      </w:r>
    </w:p>
    <w:p w14:paraId="41981FAE" w14:textId="77777777" w:rsidR="00FA0032" w:rsidRPr="006D7DD5" w:rsidRDefault="00FA0032" w:rsidP="00FA0032">
      <w:pPr>
        <w:pStyle w:val="BodyTextIndent"/>
        <w:numPr>
          <w:ilvl w:val="0"/>
          <w:numId w:val="38"/>
        </w:numPr>
        <w:spacing w:after="60" w:line="0" w:lineRule="atLeast"/>
        <w:rPr>
          <w:lang w:val="en-US"/>
        </w:rPr>
      </w:pPr>
      <w:r w:rsidRPr="006D7DD5">
        <w:rPr>
          <w:lang w:val="en-US"/>
        </w:rPr>
        <w:t>Election of one participant to verify the minutes, together with the Chairman of the Meeting.</w:t>
      </w:r>
    </w:p>
    <w:p w14:paraId="04043EBD" w14:textId="77777777" w:rsidR="00FA0032" w:rsidRPr="006D7DD5" w:rsidRDefault="00FA0032" w:rsidP="00FA0032">
      <w:pPr>
        <w:pStyle w:val="BodyTextIndent"/>
        <w:numPr>
          <w:ilvl w:val="0"/>
          <w:numId w:val="38"/>
        </w:numPr>
        <w:spacing w:after="60" w:line="0" w:lineRule="atLeast"/>
        <w:rPr>
          <w:lang w:val="en-US"/>
        </w:rPr>
      </w:pPr>
      <w:r w:rsidRPr="006D7DD5">
        <w:rPr>
          <w:lang w:val="en-US"/>
        </w:rPr>
        <w:t>Determination of whether the Meeting was duly convened.</w:t>
      </w:r>
    </w:p>
    <w:p w14:paraId="31E79B0C" w14:textId="77777777" w:rsidR="00360DDC" w:rsidRPr="006D7DD5" w:rsidRDefault="00360DDC" w:rsidP="00360DDC">
      <w:pPr>
        <w:pStyle w:val="BodyTextIndent"/>
        <w:numPr>
          <w:ilvl w:val="0"/>
          <w:numId w:val="38"/>
        </w:numPr>
        <w:spacing w:after="60" w:line="0" w:lineRule="atLeast"/>
        <w:rPr>
          <w:lang w:val="en-US"/>
        </w:rPr>
      </w:pPr>
      <w:r w:rsidRPr="006D7DD5">
        <w:rPr>
          <w:lang w:val="en-US"/>
        </w:rPr>
        <w:t>Approval of the agenda.</w:t>
      </w:r>
    </w:p>
    <w:p w14:paraId="1D33F2A7" w14:textId="77777777" w:rsidR="00B743A2" w:rsidRPr="006D7DD5" w:rsidRDefault="00B743A2" w:rsidP="006D7DD5">
      <w:pPr>
        <w:pStyle w:val="BodyTextIndent"/>
        <w:numPr>
          <w:ilvl w:val="0"/>
          <w:numId w:val="38"/>
        </w:numPr>
        <w:spacing w:after="0" w:line="0" w:lineRule="atLeast"/>
        <w:rPr>
          <w:lang w:val="en-US"/>
        </w:rPr>
      </w:pPr>
      <w:r w:rsidRPr="006D7DD5">
        <w:rPr>
          <w:lang w:val="en-US"/>
        </w:rPr>
        <w:t>Presentation of Annual Report and Auditor's Report as well as Consolidated Financial Statements and the Auditor’s Report on the Consolidated Financial Statement for the income year 202</w:t>
      </w:r>
      <w:r w:rsidR="00622A3F">
        <w:rPr>
          <w:lang w:val="en-US"/>
        </w:rPr>
        <w:t>4</w:t>
      </w:r>
      <w:r w:rsidRPr="006D7DD5">
        <w:rPr>
          <w:lang w:val="en-US"/>
        </w:rPr>
        <w:t>.</w:t>
      </w:r>
    </w:p>
    <w:p w14:paraId="6CF0BB98" w14:textId="77777777" w:rsidR="00B743A2" w:rsidRPr="006D7DD5" w:rsidRDefault="00B743A2" w:rsidP="006D7DD5">
      <w:pPr>
        <w:pStyle w:val="BodyTextIndent"/>
        <w:numPr>
          <w:ilvl w:val="0"/>
          <w:numId w:val="38"/>
        </w:numPr>
        <w:spacing w:after="0" w:line="0" w:lineRule="atLeast"/>
      </w:pPr>
      <w:r w:rsidRPr="006D7DD5">
        <w:t>Resolution:</w:t>
      </w:r>
    </w:p>
    <w:p w14:paraId="6A59A8A2" w14:textId="77777777" w:rsidR="006D7DD5" w:rsidRDefault="00B743A2" w:rsidP="006D7DD5">
      <w:pPr>
        <w:pStyle w:val="ListParagraph"/>
        <w:numPr>
          <w:ilvl w:val="0"/>
          <w:numId w:val="39"/>
        </w:numPr>
        <w:rPr>
          <w:lang w:val="en-US"/>
        </w:rPr>
      </w:pPr>
      <w:r w:rsidRPr="006D7DD5">
        <w:rPr>
          <w:lang w:val="en-US"/>
        </w:rPr>
        <w:t>on the adoption of the Income Statement and Balance Sheet as well as the Consolidated Income Statement and Consolidated Balance Sheet;</w:t>
      </w:r>
    </w:p>
    <w:p w14:paraId="0CA736C8" w14:textId="77777777" w:rsidR="00FA0032" w:rsidRDefault="00B743A2" w:rsidP="00FA0032">
      <w:pPr>
        <w:pStyle w:val="ListParagraph"/>
        <w:numPr>
          <w:ilvl w:val="0"/>
          <w:numId w:val="39"/>
        </w:numPr>
        <w:rPr>
          <w:lang w:val="en-US"/>
        </w:rPr>
      </w:pPr>
      <w:r w:rsidRPr="006D7DD5">
        <w:rPr>
          <w:lang w:val="en-US"/>
        </w:rPr>
        <w:t>dispositions regarding the Company’s profit or loss according to the approved Balance Sheet and the approved consolidated balance sheet</w:t>
      </w:r>
      <w:r w:rsidR="00FA0032">
        <w:rPr>
          <w:lang w:val="en-US"/>
        </w:rPr>
        <w:t>;</w:t>
      </w:r>
      <w:r w:rsidR="00E9314A">
        <w:rPr>
          <w:lang w:val="en-US"/>
        </w:rPr>
        <w:t xml:space="preserve"> and</w:t>
      </w:r>
    </w:p>
    <w:p w14:paraId="05ED47AA" w14:textId="77777777" w:rsidR="00FA0032" w:rsidRPr="00FA0032" w:rsidRDefault="00360DDC" w:rsidP="00FA0032">
      <w:pPr>
        <w:pStyle w:val="ListParagraph"/>
        <w:numPr>
          <w:ilvl w:val="0"/>
          <w:numId w:val="39"/>
        </w:numPr>
        <w:rPr>
          <w:lang w:val="en-US"/>
        </w:rPr>
      </w:pPr>
      <w:r w:rsidRPr="00FA0032">
        <w:rPr>
          <w:lang w:val="en-US"/>
        </w:rPr>
        <w:lastRenderedPageBreak/>
        <w:t xml:space="preserve">on discharge from liability of the Board of Directors </w:t>
      </w:r>
      <w:r w:rsidR="00FA0032" w:rsidRPr="00FA0032">
        <w:rPr>
          <w:lang w:val="en-US"/>
        </w:rPr>
        <w:t>and th</w:t>
      </w:r>
      <w:r w:rsidRPr="00FA0032">
        <w:rPr>
          <w:lang w:val="en-US"/>
        </w:rPr>
        <w:t>e</w:t>
      </w:r>
      <w:r w:rsidR="00FA0032" w:rsidRPr="00FA0032">
        <w:rPr>
          <w:lang w:val="en-US"/>
        </w:rPr>
        <w:t xml:space="preserve"> CEO.</w:t>
      </w:r>
    </w:p>
    <w:p w14:paraId="7AE2F04A" w14:textId="77777777" w:rsidR="00B743A2" w:rsidRPr="00FA0032" w:rsidRDefault="00B743A2" w:rsidP="00E816A0">
      <w:pPr>
        <w:pStyle w:val="ListParagraph"/>
        <w:numPr>
          <w:ilvl w:val="0"/>
          <w:numId w:val="38"/>
        </w:numPr>
        <w:rPr>
          <w:lang w:val="en-US"/>
        </w:rPr>
      </w:pPr>
      <w:r w:rsidRPr="00FA0032">
        <w:rPr>
          <w:lang w:val="en-US"/>
        </w:rPr>
        <w:t>Determination of remuneration for the Board of Directors, Committees and the Auditors.</w:t>
      </w:r>
    </w:p>
    <w:p w14:paraId="6F29352D" w14:textId="77777777" w:rsidR="00B743A2" w:rsidRPr="006D7DD5" w:rsidRDefault="00B743A2" w:rsidP="006D7DD5">
      <w:pPr>
        <w:pStyle w:val="ListParagraph"/>
        <w:numPr>
          <w:ilvl w:val="0"/>
          <w:numId w:val="38"/>
        </w:numPr>
      </w:pPr>
      <w:r w:rsidRPr="006D7DD5">
        <w:t>Election of:</w:t>
      </w:r>
    </w:p>
    <w:p w14:paraId="1AE9E793" w14:textId="77777777" w:rsidR="0081539D" w:rsidRDefault="00B743A2" w:rsidP="0081539D">
      <w:pPr>
        <w:pStyle w:val="ListParagraph"/>
        <w:numPr>
          <w:ilvl w:val="0"/>
          <w:numId w:val="41"/>
        </w:numPr>
      </w:pPr>
      <w:r w:rsidRPr="006D7DD5">
        <w:t>Board of Directors and Chairman of the Board; and</w:t>
      </w:r>
    </w:p>
    <w:p w14:paraId="1A65BF5B" w14:textId="77777777" w:rsidR="00B743A2" w:rsidRPr="006D7DD5" w:rsidRDefault="0081539D" w:rsidP="0081539D">
      <w:pPr>
        <w:pStyle w:val="ListParagraph"/>
        <w:numPr>
          <w:ilvl w:val="0"/>
          <w:numId w:val="41"/>
        </w:numPr>
      </w:pPr>
      <w:r>
        <w:t>Auditors</w:t>
      </w:r>
      <w:r w:rsidR="00B743A2" w:rsidRPr="006D7DD5">
        <w:t>.</w:t>
      </w:r>
    </w:p>
    <w:p w14:paraId="4C6ACE70" w14:textId="77777777" w:rsidR="00B743A2" w:rsidRPr="006D7DD5" w:rsidRDefault="00B743A2" w:rsidP="006D7DD5">
      <w:pPr>
        <w:pStyle w:val="ListParagraph"/>
        <w:numPr>
          <w:ilvl w:val="0"/>
          <w:numId w:val="38"/>
        </w:numPr>
        <w:spacing w:line="0" w:lineRule="atLeast"/>
        <w:jc w:val="both"/>
        <w:rPr>
          <w:lang w:val="en-US"/>
        </w:rPr>
      </w:pPr>
      <w:r w:rsidRPr="006D7DD5">
        <w:rPr>
          <w:lang w:val="en-US"/>
        </w:rPr>
        <w:t>Resolution regarding principles for the Nomination Committee.</w:t>
      </w:r>
    </w:p>
    <w:p w14:paraId="387E8A5C" w14:textId="77777777" w:rsidR="00B743A2" w:rsidRDefault="00B743A2" w:rsidP="006D7DD5">
      <w:pPr>
        <w:pStyle w:val="ListParagraph"/>
        <w:numPr>
          <w:ilvl w:val="0"/>
          <w:numId w:val="38"/>
        </w:numPr>
        <w:spacing w:line="0" w:lineRule="atLeast"/>
        <w:jc w:val="both"/>
      </w:pPr>
      <w:r w:rsidRPr="006D7DD5">
        <w:t>Resolution to authorize the Board of Directors to issue shares, warrants and/or convertibles.</w:t>
      </w:r>
    </w:p>
    <w:p w14:paraId="698EC5EF" w14:textId="77777777" w:rsidR="00BC05BB" w:rsidRPr="00BC05BB" w:rsidRDefault="00BC05BB" w:rsidP="00BC05BB">
      <w:pPr>
        <w:pStyle w:val="ListParagraph"/>
        <w:numPr>
          <w:ilvl w:val="0"/>
          <w:numId w:val="38"/>
        </w:numPr>
        <w:jc w:val="both"/>
        <w:rPr>
          <w:lang w:val="en-US"/>
        </w:rPr>
      </w:pPr>
      <w:r w:rsidRPr="00BC05BB">
        <w:rPr>
          <w:lang w:val="en-US"/>
        </w:rPr>
        <w:t>Resolution regarding an incentive program for senior executives and employees within the group.</w:t>
      </w:r>
    </w:p>
    <w:p w14:paraId="254C4BDA" w14:textId="77777777" w:rsidR="00BC05BB" w:rsidRDefault="00BC05BB" w:rsidP="00BC05BB">
      <w:pPr>
        <w:pStyle w:val="ListParagraph"/>
        <w:numPr>
          <w:ilvl w:val="0"/>
          <w:numId w:val="47"/>
        </w:numPr>
        <w:jc w:val="both"/>
        <w:rPr>
          <w:lang w:val="en-US"/>
        </w:rPr>
      </w:pPr>
      <w:r w:rsidRPr="00BC05BB">
        <w:rPr>
          <w:lang w:val="en-US"/>
        </w:rPr>
        <w:t xml:space="preserve">Resolution regarding </w:t>
      </w:r>
      <w:proofErr w:type="gramStart"/>
      <w:r w:rsidRPr="00BC05BB">
        <w:rPr>
          <w:lang w:val="en-US"/>
        </w:rPr>
        <w:t>issue</w:t>
      </w:r>
      <w:proofErr w:type="gramEnd"/>
      <w:r w:rsidRPr="00BC05BB">
        <w:rPr>
          <w:lang w:val="en-US"/>
        </w:rPr>
        <w:t xml:space="preserve"> of warrants.</w:t>
      </w:r>
    </w:p>
    <w:p w14:paraId="7B069E7E" w14:textId="77777777" w:rsidR="00BC05BB" w:rsidRPr="00BC05BB" w:rsidRDefault="00BC05BB" w:rsidP="00BC05BB">
      <w:pPr>
        <w:pStyle w:val="ListParagraph"/>
        <w:numPr>
          <w:ilvl w:val="0"/>
          <w:numId w:val="47"/>
        </w:numPr>
        <w:jc w:val="both"/>
        <w:rPr>
          <w:lang w:val="en-US"/>
        </w:rPr>
      </w:pPr>
      <w:r w:rsidRPr="00BC05BB">
        <w:rPr>
          <w:lang w:val="en-US"/>
        </w:rPr>
        <w:t>Resolution regarding approval of transfer of warrants.</w:t>
      </w:r>
    </w:p>
    <w:p w14:paraId="47FB3FBC" w14:textId="77777777" w:rsidR="00B743A2" w:rsidRPr="00A51102" w:rsidRDefault="00B743A2" w:rsidP="006D7DD5">
      <w:pPr>
        <w:pStyle w:val="BodyTextIndent"/>
        <w:numPr>
          <w:ilvl w:val="0"/>
          <w:numId w:val="38"/>
        </w:numPr>
        <w:spacing w:line="0" w:lineRule="atLeast"/>
        <w:rPr>
          <w:lang w:val="en-US"/>
        </w:rPr>
      </w:pPr>
      <w:r w:rsidRPr="006D7DD5">
        <w:rPr>
          <w:lang w:val="en-US"/>
        </w:rPr>
        <w:t xml:space="preserve">Closing </w:t>
      </w:r>
      <w:r w:rsidRPr="00A51102">
        <w:rPr>
          <w:lang w:val="en-US"/>
        </w:rPr>
        <w:t>of the Meeting.</w:t>
      </w:r>
    </w:p>
    <w:p w14:paraId="0CC8E1CC" w14:textId="77777777" w:rsidR="0081539D" w:rsidRDefault="0081539D" w:rsidP="000369DA">
      <w:pPr>
        <w:spacing w:after="120"/>
        <w:rPr>
          <w:b/>
        </w:rPr>
      </w:pPr>
    </w:p>
    <w:p w14:paraId="118B0210" w14:textId="77777777" w:rsidR="000369DA" w:rsidRPr="00E664DE" w:rsidRDefault="000369DA" w:rsidP="000369DA">
      <w:pPr>
        <w:spacing w:after="120"/>
        <w:rPr>
          <w:b/>
          <w:color w:val="333333"/>
        </w:rPr>
      </w:pPr>
      <w:r w:rsidRPr="00B743A2">
        <w:rPr>
          <w:b/>
        </w:rPr>
        <w:t>Proposals for resolution</w:t>
      </w:r>
      <w:r w:rsidRPr="00E664DE">
        <w:rPr>
          <w:b/>
        </w:rPr>
        <w:br/>
      </w:r>
      <w:r w:rsidRPr="00E664DE">
        <w:rPr>
          <w:b/>
          <w:bCs/>
        </w:rPr>
        <w:t xml:space="preserve">Item 1: Opening of the Meeting and election </w:t>
      </w:r>
      <w:r w:rsidRPr="00E664DE">
        <w:rPr>
          <w:b/>
        </w:rPr>
        <w:t>of Chairman of the Meeting</w:t>
      </w:r>
    </w:p>
    <w:p w14:paraId="1CDAE712" w14:textId="77777777" w:rsidR="00B743A2" w:rsidRPr="00B743A2" w:rsidRDefault="00B743A2" w:rsidP="00B743A2">
      <w:pPr>
        <w:pStyle w:val="Text"/>
        <w:spacing w:after="120"/>
        <w:jc w:val="both"/>
        <w:rPr>
          <w:b/>
          <w:iCs/>
          <w:szCs w:val="22"/>
          <w:lang w:val="en-US"/>
        </w:rPr>
      </w:pPr>
      <w:r w:rsidRPr="00B743A2">
        <w:rPr>
          <w:szCs w:val="22"/>
          <w:lang w:val="en-GB"/>
        </w:rPr>
        <w:t xml:space="preserve">The Nomination Committee for the Company has, prior to the Meeting, consisted of Erik Syrén, appointed by Hedskog Equity AB, Emil Hjalmarsson, appointed by Aktiebolag </w:t>
      </w:r>
      <w:proofErr w:type="spellStart"/>
      <w:r w:rsidRPr="00B743A2">
        <w:rPr>
          <w:szCs w:val="22"/>
          <w:lang w:val="en-GB"/>
        </w:rPr>
        <w:t>Grenspecialisten</w:t>
      </w:r>
      <w:proofErr w:type="spellEnd"/>
      <w:r w:rsidR="00FA0032">
        <w:rPr>
          <w:szCs w:val="22"/>
          <w:lang w:val="en-GB"/>
        </w:rPr>
        <w:t>, and</w:t>
      </w:r>
      <w:r w:rsidRPr="00B743A2">
        <w:rPr>
          <w:szCs w:val="22"/>
          <w:lang w:val="en-GB"/>
        </w:rPr>
        <w:t xml:space="preserve"> Bengt Axelsson, appointed by Klas Lindström and adjunct member and chairman of the board, Andreas Hedskog. Together, Hedskog Equity AB, Aktiebolag </w:t>
      </w:r>
      <w:proofErr w:type="spellStart"/>
      <w:r w:rsidRPr="00B743A2">
        <w:rPr>
          <w:szCs w:val="22"/>
          <w:lang w:val="en-GB"/>
        </w:rPr>
        <w:t>Grenspecialisten</w:t>
      </w:r>
      <w:proofErr w:type="spellEnd"/>
      <w:r w:rsidRPr="00B743A2">
        <w:rPr>
          <w:szCs w:val="22"/>
          <w:lang w:val="en-GB"/>
        </w:rPr>
        <w:t xml:space="preserve"> and Klas Lindström represent approximatel</w:t>
      </w:r>
      <w:r w:rsidRPr="00BC05BB">
        <w:rPr>
          <w:szCs w:val="22"/>
          <w:lang w:val="en-GB"/>
        </w:rPr>
        <w:t>y 28,8 p</w:t>
      </w:r>
      <w:r w:rsidRPr="00B743A2">
        <w:rPr>
          <w:szCs w:val="22"/>
          <w:lang w:val="en-GB"/>
        </w:rPr>
        <w:t>ercent of the total number of votes in the Company.</w:t>
      </w:r>
    </w:p>
    <w:p w14:paraId="14DF6D6A" w14:textId="77777777" w:rsidR="00B743A2" w:rsidRPr="00BC05BB" w:rsidRDefault="00B743A2" w:rsidP="00B743A2">
      <w:pPr>
        <w:jc w:val="both"/>
        <w:rPr>
          <w:lang w:val="en-US"/>
        </w:rPr>
      </w:pPr>
    </w:p>
    <w:p w14:paraId="5A75471C" w14:textId="77777777" w:rsidR="00B743A2" w:rsidRPr="00B743A2" w:rsidRDefault="00B743A2" w:rsidP="00B743A2">
      <w:pPr>
        <w:spacing w:after="240"/>
        <w:jc w:val="both"/>
        <w:rPr>
          <w:lang w:val="en-US"/>
        </w:rPr>
      </w:pPr>
      <w:r w:rsidRPr="00B743A2">
        <w:rPr>
          <w:lang w:val="en-US"/>
        </w:rPr>
        <w:t>The Nomination Committee proposes that Chairman of the Board, Andreas Hedskog, is appointed as Chairman of the Meeting.</w:t>
      </w:r>
    </w:p>
    <w:p w14:paraId="6035E193" w14:textId="77777777" w:rsidR="000369DA" w:rsidRPr="00E664DE" w:rsidRDefault="000369DA" w:rsidP="000369DA">
      <w:pPr>
        <w:pStyle w:val="Text"/>
        <w:spacing w:after="0"/>
        <w:jc w:val="both"/>
        <w:rPr>
          <w:szCs w:val="22"/>
          <w:lang w:val="en-GB"/>
        </w:rPr>
      </w:pPr>
      <w:r w:rsidRPr="00E664DE">
        <w:rPr>
          <w:b/>
          <w:szCs w:val="22"/>
          <w:lang w:val="en-GB"/>
        </w:rPr>
        <w:t>Item 7a: Adoption of the Income Statement and Balance Sheet and the Consolidated income statement and consolidated balance sheet</w:t>
      </w:r>
      <w:r w:rsidRPr="00E664DE">
        <w:rPr>
          <w:szCs w:val="22"/>
          <w:lang w:val="en-GB"/>
        </w:rPr>
        <w:t xml:space="preserve"> </w:t>
      </w:r>
    </w:p>
    <w:p w14:paraId="0E1BAD88" w14:textId="77777777" w:rsidR="000369DA" w:rsidRPr="00E664DE" w:rsidRDefault="000369DA" w:rsidP="000369DA">
      <w:pPr>
        <w:pStyle w:val="Text"/>
        <w:spacing w:after="120"/>
        <w:jc w:val="both"/>
        <w:rPr>
          <w:szCs w:val="22"/>
          <w:lang w:val="en-GB"/>
        </w:rPr>
      </w:pPr>
      <w:r w:rsidRPr="00E664DE">
        <w:rPr>
          <w:szCs w:val="22"/>
          <w:lang w:val="en-GB"/>
        </w:rPr>
        <w:t>It is proposed that the income statement and balance sheet and the consolidated income statement and consolidated balance sheet in the presented annual accounts are adopted.</w:t>
      </w:r>
    </w:p>
    <w:p w14:paraId="56DCE7D0" w14:textId="77777777" w:rsidR="000369DA" w:rsidRPr="00E664DE" w:rsidRDefault="000369DA" w:rsidP="00E9314A">
      <w:pPr>
        <w:pStyle w:val="Text"/>
        <w:spacing w:after="0"/>
        <w:jc w:val="both"/>
        <w:rPr>
          <w:b/>
          <w:szCs w:val="22"/>
          <w:lang w:val="en-US"/>
        </w:rPr>
      </w:pPr>
      <w:r w:rsidRPr="00E664DE">
        <w:rPr>
          <w:b/>
          <w:szCs w:val="22"/>
          <w:lang w:val="en-US"/>
        </w:rPr>
        <w:t>Item 7b: Resolution on dispositions regarding profit or loss according to the approved balance sheet and the approved consolidated balance sheet</w:t>
      </w:r>
    </w:p>
    <w:p w14:paraId="73B5F33F" w14:textId="77777777" w:rsidR="00D66DD4" w:rsidRPr="00E664DE" w:rsidRDefault="000369DA" w:rsidP="00D66DD4">
      <w:pPr>
        <w:rPr>
          <w:rFonts w:eastAsia="MS PMincho"/>
          <w:lang w:val="en-US"/>
        </w:rPr>
      </w:pPr>
      <w:r w:rsidRPr="00E664DE">
        <w:rPr>
          <w:rFonts w:eastAsia="MS PMincho"/>
          <w:lang w:val="en-US"/>
        </w:rPr>
        <w:t>It is proposed that all available funds are carried forward and that no dividends shall be paid.</w:t>
      </w:r>
    </w:p>
    <w:p w14:paraId="2641AC2D" w14:textId="77777777" w:rsidR="000369DA" w:rsidRPr="00E664DE" w:rsidRDefault="000369DA" w:rsidP="00D66DD4">
      <w:pPr>
        <w:rPr>
          <w:lang w:val="en-US"/>
        </w:rPr>
      </w:pPr>
    </w:p>
    <w:p w14:paraId="40771097" w14:textId="77777777" w:rsidR="000369DA" w:rsidRPr="00E664DE" w:rsidRDefault="000369DA" w:rsidP="00D66DD4">
      <w:pPr>
        <w:rPr>
          <w:rFonts w:eastAsia="MS PMincho"/>
          <w:b/>
        </w:rPr>
      </w:pPr>
      <w:r w:rsidRPr="00E664DE">
        <w:rPr>
          <w:rFonts w:eastAsia="MS PMincho"/>
          <w:b/>
        </w:rPr>
        <w:t xml:space="preserve">Item </w:t>
      </w:r>
      <w:r w:rsidR="00FA0032">
        <w:rPr>
          <w:rFonts w:eastAsia="MS PMincho"/>
          <w:b/>
        </w:rPr>
        <w:t>7c</w:t>
      </w:r>
      <w:r w:rsidRPr="00E664DE">
        <w:rPr>
          <w:rFonts w:eastAsia="MS PMincho"/>
          <w:b/>
        </w:rPr>
        <w:t>: Discharge from liability for</w:t>
      </w:r>
      <w:r w:rsidR="00FA0032">
        <w:rPr>
          <w:rFonts w:eastAsia="MS PMincho"/>
          <w:b/>
        </w:rPr>
        <w:t xml:space="preserve"> the</w:t>
      </w:r>
      <w:r w:rsidRPr="00E664DE">
        <w:rPr>
          <w:rFonts w:eastAsia="MS PMincho"/>
          <w:b/>
        </w:rPr>
        <w:t xml:space="preserve"> Board of Directors</w:t>
      </w:r>
      <w:r w:rsidR="00FA0032">
        <w:rPr>
          <w:rFonts w:eastAsia="MS PMincho"/>
          <w:b/>
        </w:rPr>
        <w:t xml:space="preserve"> and the CEO</w:t>
      </w:r>
      <w:r w:rsidRPr="00E664DE">
        <w:rPr>
          <w:rFonts w:eastAsia="MS PMincho"/>
          <w:b/>
        </w:rPr>
        <w:t>.</w:t>
      </w:r>
    </w:p>
    <w:p w14:paraId="32C44D51" w14:textId="77777777" w:rsidR="00360DDC" w:rsidRPr="00E664DE" w:rsidRDefault="00B743A2" w:rsidP="00E9314A">
      <w:pPr>
        <w:jc w:val="both"/>
        <w:rPr>
          <w:rFonts w:eastAsia="MS PMincho"/>
        </w:rPr>
      </w:pPr>
      <w:bookmarkStart w:id="0" w:name="_Hlk161834031"/>
      <w:r w:rsidRPr="00B743A2">
        <w:rPr>
          <w:rFonts w:eastAsia="MS PMincho"/>
        </w:rPr>
        <w:t xml:space="preserve">It is proposed that the </w:t>
      </w:r>
      <w:r>
        <w:rPr>
          <w:rFonts w:eastAsia="MS PMincho"/>
        </w:rPr>
        <w:t>Board of Directors</w:t>
      </w:r>
      <w:r w:rsidRPr="00B743A2">
        <w:rPr>
          <w:rFonts w:eastAsia="MS PMincho"/>
        </w:rPr>
        <w:t xml:space="preserve"> during 202</w:t>
      </w:r>
      <w:r w:rsidR="00622A3F">
        <w:rPr>
          <w:rFonts w:eastAsia="MS PMincho"/>
        </w:rPr>
        <w:t>4</w:t>
      </w:r>
      <w:r>
        <w:rPr>
          <w:rFonts w:eastAsia="MS PMincho"/>
        </w:rPr>
        <w:t xml:space="preserve"> are</w:t>
      </w:r>
      <w:r w:rsidRPr="00B743A2">
        <w:rPr>
          <w:rFonts w:eastAsia="MS PMincho"/>
        </w:rPr>
        <w:t xml:space="preserve"> </w:t>
      </w:r>
      <w:r w:rsidRPr="00E664DE">
        <w:rPr>
          <w:rFonts w:eastAsia="MS PMincho"/>
        </w:rPr>
        <w:t>discharged from liability</w:t>
      </w:r>
      <w:r w:rsidR="00FA0032">
        <w:rPr>
          <w:rFonts w:eastAsia="MS PMincho"/>
        </w:rPr>
        <w:t xml:space="preserve"> and the CEO, Magnus Bergqvist</w:t>
      </w:r>
      <w:r w:rsidR="00A158E3">
        <w:rPr>
          <w:rFonts w:eastAsia="MS PMincho"/>
        </w:rPr>
        <w:t>, up until 2</w:t>
      </w:r>
      <w:r w:rsidR="00A158E3" w:rsidRPr="00A158E3">
        <w:rPr>
          <w:rFonts w:eastAsia="MS PMincho"/>
          <w:vertAlign w:val="superscript"/>
        </w:rPr>
        <w:t>nd</w:t>
      </w:r>
      <w:r w:rsidR="00A158E3">
        <w:rPr>
          <w:rFonts w:eastAsia="MS PMincho"/>
        </w:rPr>
        <w:t xml:space="preserve"> of April 2024</w:t>
      </w:r>
      <w:r w:rsidR="00360DDC">
        <w:rPr>
          <w:rFonts w:eastAsia="MS PMincho"/>
        </w:rPr>
        <w:t>,</w:t>
      </w:r>
      <w:r w:rsidR="00FA0032">
        <w:rPr>
          <w:rFonts w:eastAsia="MS PMincho"/>
        </w:rPr>
        <w:t xml:space="preserve"> and the CEO Jonas Jonsson from 2</w:t>
      </w:r>
      <w:r w:rsidR="00FA0032" w:rsidRPr="00FA0032">
        <w:rPr>
          <w:rFonts w:eastAsia="MS PMincho"/>
          <w:vertAlign w:val="superscript"/>
        </w:rPr>
        <w:t>nd</w:t>
      </w:r>
      <w:r w:rsidR="00FA0032">
        <w:rPr>
          <w:rFonts w:eastAsia="MS PMincho"/>
        </w:rPr>
        <w:t xml:space="preserve"> of April 2024,</w:t>
      </w:r>
      <w:r w:rsidR="00360DDC">
        <w:rPr>
          <w:rFonts w:eastAsia="MS PMincho"/>
        </w:rPr>
        <w:t xml:space="preserve"> </w:t>
      </w:r>
      <w:r w:rsidR="00FA0032">
        <w:rPr>
          <w:rFonts w:eastAsia="MS PMincho"/>
        </w:rPr>
        <w:t>are</w:t>
      </w:r>
      <w:r w:rsidR="00360DDC" w:rsidRPr="00B743A2">
        <w:rPr>
          <w:rFonts w:eastAsia="MS PMincho"/>
        </w:rPr>
        <w:t xml:space="preserve"> </w:t>
      </w:r>
      <w:r w:rsidR="00360DDC" w:rsidRPr="00E664DE">
        <w:rPr>
          <w:rFonts w:eastAsia="MS PMincho"/>
        </w:rPr>
        <w:t>discharged from liability.</w:t>
      </w:r>
    </w:p>
    <w:p w14:paraId="2FD6FBD0" w14:textId="77777777" w:rsidR="00360DDC" w:rsidRDefault="00360DDC" w:rsidP="00360DDC">
      <w:pPr>
        <w:rPr>
          <w:rFonts w:eastAsia="MS PMincho"/>
          <w:b/>
        </w:rPr>
      </w:pPr>
    </w:p>
    <w:bookmarkEnd w:id="0"/>
    <w:p w14:paraId="658716CE" w14:textId="77777777" w:rsidR="000369DA" w:rsidRPr="00E664DE" w:rsidRDefault="000369DA" w:rsidP="000369DA">
      <w:pPr>
        <w:pStyle w:val="Text"/>
        <w:spacing w:after="0"/>
        <w:jc w:val="both"/>
        <w:rPr>
          <w:b/>
          <w:szCs w:val="22"/>
          <w:lang w:val="en-US"/>
        </w:rPr>
      </w:pPr>
      <w:r w:rsidRPr="00E664DE">
        <w:rPr>
          <w:b/>
          <w:szCs w:val="22"/>
          <w:lang w:val="en-US"/>
        </w:rPr>
        <w:t xml:space="preserve">Item </w:t>
      </w:r>
      <w:r w:rsidR="00FA0032">
        <w:rPr>
          <w:b/>
          <w:szCs w:val="22"/>
          <w:lang w:val="en-US"/>
        </w:rPr>
        <w:t>8</w:t>
      </w:r>
      <w:r w:rsidRPr="00E664DE">
        <w:rPr>
          <w:b/>
          <w:szCs w:val="22"/>
          <w:lang w:val="en-US"/>
        </w:rPr>
        <w:t xml:space="preserve">: Determination of remuneration to the Board of Directors, the Committees and the Auditors </w:t>
      </w:r>
    </w:p>
    <w:p w14:paraId="0A82B82D" w14:textId="77777777" w:rsidR="000369DA" w:rsidRPr="00E664DE" w:rsidRDefault="000369DA" w:rsidP="00E9314A">
      <w:pPr>
        <w:jc w:val="both"/>
        <w:rPr>
          <w:rFonts w:eastAsia="MS PMincho"/>
          <w:lang w:val="en-US"/>
        </w:rPr>
      </w:pPr>
      <w:r w:rsidRPr="00E664DE">
        <w:rPr>
          <w:rFonts w:eastAsia="MS PMincho"/>
          <w:lang w:val="en-US"/>
        </w:rPr>
        <w:t>It is proposed that the remuneration to the members of the Board of Directors shall remain unchanged from previous year, i.e.:</w:t>
      </w:r>
    </w:p>
    <w:p w14:paraId="53E059EF" w14:textId="77777777" w:rsidR="000369DA" w:rsidRPr="00E664DE" w:rsidRDefault="000369DA" w:rsidP="000369DA">
      <w:pPr>
        <w:pStyle w:val="Tickbulletlist"/>
        <w:numPr>
          <w:ilvl w:val="0"/>
          <w:numId w:val="30"/>
        </w:numPr>
        <w:tabs>
          <w:tab w:val="left" w:pos="1134"/>
          <w:tab w:val="left" w:pos="1984"/>
          <w:tab w:val="left" w:pos="2835"/>
          <w:tab w:val="left" w:pos="4819"/>
          <w:tab w:val="left" w:pos="7937"/>
        </w:tabs>
        <w:rPr>
          <w:rFonts w:eastAsia="MS PMincho"/>
          <w:lang w:val="en-US"/>
        </w:rPr>
      </w:pPr>
      <w:r w:rsidRPr="00E664DE">
        <w:rPr>
          <w:rFonts w:eastAsia="MS PMincho"/>
          <w:lang w:val="en-US"/>
        </w:rPr>
        <w:t>SEK 175,000 to each non-employed board member and SEK 350,000 to the chairperson of the board, provided he or she is not employed in the group.</w:t>
      </w:r>
    </w:p>
    <w:p w14:paraId="60E6F984" w14:textId="77777777" w:rsidR="000369DA" w:rsidRPr="00E664DE" w:rsidRDefault="000369DA" w:rsidP="000369DA">
      <w:pPr>
        <w:pStyle w:val="Tickbulletlist"/>
        <w:numPr>
          <w:ilvl w:val="0"/>
          <w:numId w:val="30"/>
        </w:numPr>
        <w:tabs>
          <w:tab w:val="left" w:pos="1134"/>
          <w:tab w:val="left" w:pos="1984"/>
          <w:tab w:val="left" w:pos="2835"/>
          <w:tab w:val="left" w:pos="4819"/>
          <w:tab w:val="left" w:pos="7937"/>
        </w:tabs>
        <w:rPr>
          <w:rFonts w:eastAsia="MS PMincho"/>
          <w:lang w:val="en-US"/>
        </w:rPr>
      </w:pPr>
      <w:r w:rsidRPr="00E664DE">
        <w:rPr>
          <w:bCs/>
          <w:lang w:val="en-US"/>
        </w:rPr>
        <w:t>that fees for committee work shall remain unchanged, i.e.: SEK 25,000 to the chairperson of the committees and SEK 15,000 to other members of the committees.</w:t>
      </w:r>
    </w:p>
    <w:p w14:paraId="17FF390A" w14:textId="77777777" w:rsidR="000369DA" w:rsidRPr="00E664DE" w:rsidRDefault="000369DA" w:rsidP="000369DA">
      <w:pPr>
        <w:pStyle w:val="BodyText"/>
        <w:spacing w:after="0"/>
        <w:rPr>
          <w:bCs/>
        </w:rPr>
      </w:pPr>
    </w:p>
    <w:p w14:paraId="353BE051" w14:textId="77777777" w:rsidR="000369DA" w:rsidRPr="00E664DE" w:rsidRDefault="000369DA" w:rsidP="000369DA">
      <w:pPr>
        <w:pStyle w:val="BodyText"/>
        <w:spacing w:after="0"/>
        <w:rPr>
          <w:lang w:val="en-US"/>
        </w:rPr>
      </w:pPr>
      <w:r w:rsidRPr="00E664DE">
        <w:rPr>
          <w:lang w:val="en-US"/>
        </w:rPr>
        <w:t>It is proposed that fees to the auditor be paid according to an approved invoice.</w:t>
      </w:r>
    </w:p>
    <w:p w14:paraId="5519594B" w14:textId="77777777" w:rsidR="000369DA" w:rsidRPr="00E664DE" w:rsidRDefault="000369DA" w:rsidP="00D66DD4">
      <w:pPr>
        <w:rPr>
          <w:lang w:val="en-US"/>
        </w:rPr>
      </w:pPr>
    </w:p>
    <w:p w14:paraId="4883723B" w14:textId="77777777" w:rsidR="000369DA" w:rsidRPr="00E664DE" w:rsidRDefault="000369DA" w:rsidP="000369DA">
      <w:pPr>
        <w:jc w:val="both"/>
      </w:pPr>
      <w:r w:rsidRPr="00E664DE">
        <w:rPr>
          <w:b/>
          <w:lang w:val="en-US"/>
        </w:rPr>
        <w:t xml:space="preserve">Item </w:t>
      </w:r>
      <w:r w:rsidR="00FA0032">
        <w:rPr>
          <w:b/>
          <w:lang w:val="en-US"/>
        </w:rPr>
        <w:t>9</w:t>
      </w:r>
      <w:r w:rsidR="00A158E3">
        <w:rPr>
          <w:b/>
          <w:lang w:val="en-US"/>
        </w:rPr>
        <w:t>a</w:t>
      </w:r>
      <w:r w:rsidRPr="00E664DE">
        <w:rPr>
          <w:b/>
          <w:lang w:val="en-US"/>
        </w:rPr>
        <w:t xml:space="preserve">): </w:t>
      </w:r>
      <w:r w:rsidRPr="00E664DE">
        <w:rPr>
          <w:b/>
          <w:bCs/>
          <w:lang w:val="en-US"/>
        </w:rPr>
        <w:t>Election of the Board of Directors</w:t>
      </w:r>
      <w:r w:rsidRPr="00E664DE">
        <w:t xml:space="preserve"> </w:t>
      </w:r>
      <w:r w:rsidRPr="00E664DE">
        <w:rPr>
          <w:b/>
        </w:rPr>
        <w:t>and Chairman of the Board</w:t>
      </w:r>
    </w:p>
    <w:p w14:paraId="75C20F0E" w14:textId="77777777" w:rsidR="00B743A2" w:rsidRPr="00B743A2" w:rsidRDefault="00B743A2" w:rsidP="00B743A2">
      <w:pPr>
        <w:pStyle w:val="Text"/>
        <w:spacing w:after="120"/>
        <w:jc w:val="both"/>
        <w:rPr>
          <w:szCs w:val="22"/>
          <w:lang w:val="en-US"/>
        </w:rPr>
      </w:pPr>
      <w:r w:rsidRPr="00B743A2">
        <w:rPr>
          <w:szCs w:val="22"/>
          <w:lang w:val="en-US"/>
        </w:rPr>
        <w:t xml:space="preserve">It is proposed by the Nomination Committee that the Board of Directors shall continue to consist of six directors. </w:t>
      </w:r>
      <w:r w:rsidRPr="00B743A2">
        <w:rPr>
          <w:szCs w:val="22"/>
          <w:lang w:val="en-GB"/>
        </w:rPr>
        <w:t>It is proposed to re-elect of the current board members Andreas Hedskog, Louise Bagewitz, Christine Rankin</w:t>
      </w:r>
      <w:r w:rsidR="00622A3F">
        <w:rPr>
          <w:szCs w:val="22"/>
          <w:lang w:val="en-GB"/>
        </w:rPr>
        <w:t>, Erik Ivarsson, Anders Fransson</w:t>
      </w:r>
      <w:r w:rsidRPr="00B743A2">
        <w:rPr>
          <w:szCs w:val="22"/>
          <w:lang w:val="en-GB"/>
        </w:rPr>
        <w:t xml:space="preserve"> and Jörgen Ericsson. </w:t>
      </w:r>
      <w:r w:rsidRPr="00B743A2">
        <w:rPr>
          <w:szCs w:val="22"/>
          <w:lang w:val="en-US"/>
        </w:rPr>
        <w:t xml:space="preserve">It is also proposed that Andreas Hedskog shall be re-elected as chairman of the board. </w:t>
      </w:r>
    </w:p>
    <w:p w14:paraId="30C8932F" w14:textId="77777777" w:rsidR="000369DA" w:rsidRPr="00E664DE" w:rsidRDefault="000369DA" w:rsidP="000369DA">
      <w:pPr>
        <w:jc w:val="both"/>
      </w:pPr>
      <w:r w:rsidRPr="00E664DE">
        <w:rPr>
          <w:b/>
        </w:rPr>
        <w:t xml:space="preserve">Item </w:t>
      </w:r>
      <w:r w:rsidR="00FA0032">
        <w:rPr>
          <w:b/>
        </w:rPr>
        <w:t>9</w:t>
      </w:r>
      <w:r w:rsidRPr="00E664DE">
        <w:rPr>
          <w:b/>
        </w:rPr>
        <w:t xml:space="preserve">b): </w:t>
      </w:r>
      <w:r w:rsidRPr="00E664DE">
        <w:rPr>
          <w:b/>
          <w:bCs/>
        </w:rPr>
        <w:t>Election of the Auditors</w:t>
      </w:r>
      <w:r w:rsidRPr="00E664DE">
        <w:t xml:space="preserve"> </w:t>
      </w:r>
    </w:p>
    <w:p w14:paraId="19C338BC" w14:textId="77777777" w:rsidR="000369DA" w:rsidRPr="00E664DE" w:rsidRDefault="000369DA" w:rsidP="000369DA">
      <w:pPr>
        <w:spacing w:after="240"/>
        <w:jc w:val="both"/>
        <w:rPr>
          <w:lang w:val="en-US"/>
        </w:rPr>
      </w:pPr>
      <w:r w:rsidRPr="00E664DE">
        <w:rPr>
          <w:lang w:val="en-US"/>
        </w:rPr>
        <w:t>It is proposed re-election of the registered auditing company Ernst &amp; Young AB as the Company's auditor for the period until the end of the next annual general meeting. Ernst &amp; Young AB has notified that the authorized public accountant Peter Gunnarsson will continue as principal auditor.</w:t>
      </w:r>
    </w:p>
    <w:p w14:paraId="716442C9" w14:textId="77777777" w:rsidR="000369DA" w:rsidRPr="00E664DE" w:rsidRDefault="000369DA" w:rsidP="00D66DD4">
      <w:pPr>
        <w:rPr>
          <w:b/>
          <w:lang w:val="en-US"/>
        </w:rPr>
      </w:pPr>
      <w:r w:rsidRPr="00E664DE">
        <w:rPr>
          <w:b/>
          <w:lang w:val="en-US"/>
        </w:rPr>
        <w:t>Item 1</w:t>
      </w:r>
      <w:r w:rsidR="00FA0032">
        <w:rPr>
          <w:b/>
          <w:lang w:val="en-US"/>
        </w:rPr>
        <w:t>0</w:t>
      </w:r>
      <w:r w:rsidRPr="00E664DE">
        <w:rPr>
          <w:b/>
          <w:lang w:val="en-US"/>
        </w:rPr>
        <w:t>: Resolution regarding principles for the Nomination Committee</w:t>
      </w:r>
    </w:p>
    <w:p w14:paraId="2E630598" w14:textId="77777777" w:rsidR="000369DA" w:rsidRPr="00E664DE" w:rsidRDefault="000369DA" w:rsidP="000369DA">
      <w:pPr>
        <w:pStyle w:val="BodyText"/>
        <w:jc w:val="both"/>
        <w:rPr>
          <w:rFonts w:ascii="Times New Roman" w:hAnsi="Times New Roman"/>
          <w:lang w:val="en-US"/>
        </w:rPr>
      </w:pPr>
      <w:r w:rsidRPr="00E664DE">
        <w:rPr>
          <w:rFonts w:cstheme="minorHAnsi"/>
          <w:lang w:val="en-US"/>
        </w:rPr>
        <w:t xml:space="preserve">The board of directors of the Company </w:t>
      </w:r>
      <w:r w:rsidRPr="00E664DE">
        <w:rPr>
          <w:lang w:val="en-US"/>
        </w:rPr>
        <w:t>proposes that the annual general meeting resolves to adopt the following instruction to the Nomination Committee.</w:t>
      </w:r>
    </w:p>
    <w:p w14:paraId="27DA5357" w14:textId="77777777" w:rsidR="000369DA" w:rsidRPr="00E664DE" w:rsidRDefault="000369DA" w:rsidP="00D66DD4">
      <w:pPr>
        <w:rPr>
          <w:bCs/>
          <w:iCs/>
          <w:color w:val="000000"/>
          <w:kern w:val="36"/>
          <w:u w:val="single"/>
          <w:lang w:val="en-US" w:eastAsia="en-GB"/>
        </w:rPr>
      </w:pPr>
      <w:r w:rsidRPr="00E664DE">
        <w:rPr>
          <w:bCs/>
          <w:iCs/>
          <w:color w:val="000000"/>
          <w:kern w:val="36"/>
          <w:u w:val="single"/>
          <w:lang w:val="en-US" w:eastAsia="en-GB"/>
        </w:rPr>
        <w:t>Instruction to the Nomination Committee</w:t>
      </w:r>
    </w:p>
    <w:p w14:paraId="7DBBF024" w14:textId="77777777" w:rsidR="000369DA" w:rsidRPr="00E664DE" w:rsidRDefault="000369DA" w:rsidP="00D66DD4">
      <w:pPr>
        <w:rPr>
          <w:lang w:val="en-US"/>
        </w:rPr>
      </w:pPr>
    </w:p>
    <w:p w14:paraId="2DF8967B" w14:textId="77777777" w:rsidR="000369DA" w:rsidRPr="00E664DE" w:rsidRDefault="000369DA" w:rsidP="00D66DD4">
      <w:pPr>
        <w:rPr>
          <w:bCs/>
          <w:iCs/>
          <w:color w:val="000000"/>
          <w:u w:val="single"/>
          <w:lang w:val="en-US" w:eastAsia="en-GB"/>
        </w:rPr>
      </w:pPr>
      <w:r w:rsidRPr="00E664DE">
        <w:rPr>
          <w:bCs/>
          <w:iCs/>
          <w:color w:val="000000"/>
          <w:u w:val="single"/>
          <w:lang w:val="en-US" w:eastAsia="en-GB"/>
        </w:rPr>
        <w:t>The composition of the Nomination Committee</w:t>
      </w:r>
    </w:p>
    <w:p w14:paraId="34B1BAD6" w14:textId="77777777" w:rsidR="000369DA" w:rsidRPr="00E664DE" w:rsidRDefault="000369DA" w:rsidP="000369DA">
      <w:pPr>
        <w:jc w:val="both"/>
        <w:rPr>
          <w:iCs/>
          <w:lang w:val="en-US" w:eastAsia="en-GB"/>
        </w:rPr>
      </w:pPr>
      <w:r w:rsidRPr="00E664DE">
        <w:rPr>
          <w:iCs/>
          <w:color w:val="000000"/>
          <w:lang w:val="en-US" w:eastAsia="en-GB"/>
        </w:rPr>
        <w:t>The Nomination Committee shall consist of three owner representatives represented by the largest shareholders or groups of owners in the Company in accordance with the share register from Euroclear Sweden AB as of 30 September each year. In addition to these three members, the Chairman of the Board may be a co-opted member of the Nomination Committee. In accordance with the Swedish Code of Corporate Governance, a member of the Nomination Committee must carefully consider before the assignment is accepted whether there is a conflict of interest or other circumstances that make it inappropriate to participate in the Nomination Committee. The Nomination Committee shall apply the Swedish corporate governance code.</w:t>
      </w:r>
    </w:p>
    <w:p w14:paraId="21596887" w14:textId="77777777" w:rsidR="000369DA" w:rsidRPr="00E664DE" w:rsidRDefault="000369DA" w:rsidP="00D66DD4">
      <w:pPr>
        <w:rPr>
          <w:lang w:val="en-US"/>
        </w:rPr>
      </w:pPr>
    </w:p>
    <w:p w14:paraId="7E0BD323" w14:textId="77777777" w:rsidR="000369DA" w:rsidRPr="00E664DE" w:rsidRDefault="000369DA" w:rsidP="000369DA">
      <w:pPr>
        <w:outlineLvl w:val="1"/>
        <w:rPr>
          <w:bCs/>
          <w:iCs/>
          <w:color w:val="000000"/>
          <w:u w:val="single"/>
          <w:lang w:eastAsia="en-GB"/>
        </w:rPr>
      </w:pPr>
      <w:r w:rsidRPr="00E664DE">
        <w:rPr>
          <w:bCs/>
          <w:iCs/>
          <w:color w:val="000000"/>
          <w:u w:val="single"/>
          <w:lang w:eastAsia="en-GB"/>
        </w:rPr>
        <w:t>Process for appointing the Nomination Committee </w:t>
      </w:r>
    </w:p>
    <w:p w14:paraId="26AFEC96" w14:textId="77777777" w:rsidR="000369DA" w:rsidRPr="00E664DE" w:rsidRDefault="000369DA" w:rsidP="000369DA">
      <w:pPr>
        <w:jc w:val="both"/>
        <w:rPr>
          <w:iCs/>
          <w:lang w:val="en-US" w:eastAsia="en-GB"/>
        </w:rPr>
      </w:pPr>
      <w:r w:rsidRPr="00E664DE">
        <w:rPr>
          <w:iCs/>
          <w:color w:val="000000"/>
          <w:lang w:val="en-US" w:eastAsia="en-GB"/>
        </w:rPr>
        <w:t xml:space="preserve">The Chairman of the Board shall, immediately after 30 September each year based on the share register from Euroclear Sweden AB, contact the three largest shareholders or groups of owners and request that they each appoint a representative. The members of the Nomination Committee shall be published on the Company's website no later than six months before the Annual General Meeting. If any of the three largest shareholders or groups of owners refrains from appointing an owner representative or if an owner representative resigns before the assignment has been completed without the shareholder or owner group appointing a nomination committee member, the Chairman of the board shall request the next shareholder or group of owners. i.e. the fourth largest shareholder or group of owners) to appoint an owner representative within a week. This process continues until the Nomination Committee consists of three owner representatives. In the event of changes in ownership in the Company that affect the composition of the three largest shareholders or ownership groups, the one of the three largest shareholders or ownership groups that does not have an owner representative on the Nomination Committee may contact the Nomination Committee's chairman with a request to appoint a member. The Chairman of the Nomination Committee shall then inform the other members of the request. If the change of ownership is not insignificant, a member appointed by shareholders or a group of owners who no longer belong to the three largest companies shall make </w:t>
      </w:r>
      <w:r w:rsidRPr="00E664DE">
        <w:rPr>
          <w:iCs/>
          <w:color w:val="000000"/>
          <w:lang w:val="en-US" w:eastAsia="en-GB"/>
        </w:rPr>
        <w:lastRenderedPageBreak/>
        <w:t>their place available and the new shareholder or group of owners should be allowed to appoint a member. </w:t>
      </w:r>
    </w:p>
    <w:p w14:paraId="46140E88" w14:textId="77777777" w:rsidR="000369DA" w:rsidRPr="00E664DE" w:rsidRDefault="000369DA" w:rsidP="000369DA">
      <w:pPr>
        <w:outlineLvl w:val="1"/>
        <w:rPr>
          <w:bCs/>
          <w:u w:val="single"/>
          <w:lang w:val="en-US" w:eastAsia="en-GB"/>
        </w:rPr>
      </w:pPr>
    </w:p>
    <w:p w14:paraId="0A7E61A8" w14:textId="77777777" w:rsidR="000369DA" w:rsidRPr="00E664DE" w:rsidRDefault="000369DA" w:rsidP="000369DA">
      <w:pPr>
        <w:outlineLvl w:val="1"/>
        <w:rPr>
          <w:bCs/>
          <w:u w:val="single"/>
          <w:lang w:val="en-US" w:eastAsia="en-GB"/>
        </w:rPr>
      </w:pPr>
      <w:r w:rsidRPr="00E664DE">
        <w:rPr>
          <w:bCs/>
          <w:color w:val="000000"/>
          <w:u w:val="single"/>
          <w:lang w:val="en-US" w:eastAsia="en-GB"/>
        </w:rPr>
        <w:t>Requirements on the Nomination Committee in accordance with the Swedish Corporate Governance Code</w:t>
      </w:r>
    </w:p>
    <w:p w14:paraId="2D75333D" w14:textId="77777777" w:rsidR="000369DA" w:rsidRPr="00E664DE" w:rsidRDefault="000369DA" w:rsidP="000369DA">
      <w:pPr>
        <w:jc w:val="both"/>
        <w:rPr>
          <w:iCs/>
          <w:color w:val="000000"/>
          <w:lang w:val="en-US" w:eastAsia="en-GB"/>
        </w:rPr>
      </w:pPr>
      <w:r w:rsidRPr="00E664DE">
        <w:rPr>
          <w:iCs/>
          <w:color w:val="000000"/>
          <w:lang w:val="en-US" w:eastAsia="en-GB"/>
        </w:rPr>
        <w:t>The Nomination Committee shall meet the composition requirements set out in the Swedish Corporate Governance Code, meaning that the Nomination Committee shall have at least three members, one of whom shall be appointed Chairman. The majority of the members of the Nomination Committee shall be independent in relation to the Company and the management of the Company. Further, at least one member of the nomination committee is to be independent of the Company’s largest shareholder in terms of votes or any group of shareholders who act in concert in the governance of the Company. Members of the Board of directors may be members of the nomination committee but may not constitute a majority thereof. If more than one board member is included in the nomination committee, no more than one of them may be dependent in relation to the Company's major shareholders. The Chairman of the Board or another Board member shall not be the Chairman of the Nomination Committee. Neither the chief executive officer nor other members of the executive management are to be members of the nomination committee.</w:t>
      </w:r>
    </w:p>
    <w:p w14:paraId="043B7066" w14:textId="77777777" w:rsidR="000369DA" w:rsidRPr="00E664DE" w:rsidRDefault="000369DA" w:rsidP="00D66DD4">
      <w:pPr>
        <w:rPr>
          <w:lang w:val="en-US"/>
        </w:rPr>
      </w:pPr>
    </w:p>
    <w:p w14:paraId="7753A63C" w14:textId="77777777" w:rsidR="000369DA" w:rsidRPr="00E664DE" w:rsidRDefault="000369DA" w:rsidP="00D66DD4">
      <w:pPr>
        <w:rPr>
          <w:bCs/>
          <w:iCs/>
          <w:color w:val="000000"/>
          <w:u w:val="single"/>
          <w:lang w:val="en-US" w:eastAsia="en-GB"/>
        </w:rPr>
      </w:pPr>
      <w:r w:rsidRPr="00E664DE">
        <w:rPr>
          <w:bCs/>
          <w:iCs/>
          <w:color w:val="000000"/>
          <w:u w:val="single"/>
          <w:lang w:val="en-US" w:eastAsia="en-GB"/>
        </w:rPr>
        <w:t>The Chairman of the Nomination Committee, term of office and interest </w:t>
      </w:r>
    </w:p>
    <w:p w14:paraId="5F1D39F1" w14:textId="77777777" w:rsidR="000369DA" w:rsidRPr="00E664DE" w:rsidRDefault="000369DA" w:rsidP="000369DA">
      <w:pPr>
        <w:jc w:val="both"/>
        <w:rPr>
          <w:iCs/>
          <w:lang w:val="en-US" w:eastAsia="en-GB"/>
        </w:rPr>
      </w:pPr>
      <w:r w:rsidRPr="00E664DE">
        <w:rPr>
          <w:iCs/>
          <w:color w:val="000000"/>
          <w:lang w:val="en-US" w:eastAsia="en-GB"/>
        </w:rPr>
        <w:t>The Nomination Committee shall appoint the Chairman of the Nomination Committee from among its members. The term of office of the appointed Nomination Committee runs until a new Nomination Committee has been appointed. The Nomination Committee shall safeguard the interests of all the Company's shareholders in matters that fall within the scope of the Nomination Committee's tasks in accordance with the Swedish Corporate Governance Code. </w:t>
      </w:r>
    </w:p>
    <w:p w14:paraId="7F44ACFC" w14:textId="77777777" w:rsidR="000369DA" w:rsidRPr="00E664DE" w:rsidRDefault="000369DA" w:rsidP="00D66DD4">
      <w:pPr>
        <w:rPr>
          <w:lang w:val="en-US"/>
        </w:rPr>
      </w:pPr>
    </w:p>
    <w:p w14:paraId="08AD48F8" w14:textId="77777777" w:rsidR="000369DA" w:rsidRPr="00E664DE" w:rsidRDefault="000369DA" w:rsidP="000369DA">
      <w:pPr>
        <w:outlineLvl w:val="1"/>
        <w:rPr>
          <w:bCs/>
          <w:u w:val="single"/>
          <w:lang w:eastAsia="en-GB"/>
        </w:rPr>
      </w:pPr>
      <w:r w:rsidRPr="00E664DE">
        <w:rPr>
          <w:bCs/>
          <w:iCs/>
          <w:color w:val="000000"/>
          <w:u w:val="single"/>
          <w:lang w:eastAsia="en-GB"/>
        </w:rPr>
        <w:t>The Nomination Committee's proposal</w:t>
      </w:r>
    </w:p>
    <w:p w14:paraId="7AD50AA9" w14:textId="77777777" w:rsidR="000369DA" w:rsidRPr="00E664DE" w:rsidRDefault="000369DA" w:rsidP="000369DA">
      <w:pPr>
        <w:jc w:val="both"/>
        <w:rPr>
          <w:iCs/>
          <w:color w:val="000000"/>
          <w:lang w:val="en-US" w:eastAsia="en-GB"/>
        </w:rPr>
      </w:pPr>
      <w:r w:rsidRPr="00E664DE">
        <w:rPr>
          <w:iCs/>
          <w:color w:val="000000"/>
          <w:lang w:val="en-US" w:eastAsia="en-GB"/>
        </w:rPr>
        <w:t>Without limiting what has been said previously, the Nomination Committee shall submit proposals to the Chairman at the Annual General Meeting, election of Chairman and other members of the Company's Board, board fees divided between Chairman and other members and the principles for possible remuneration for committee work, election and remuneration of auditor and decision on principles for the appointment of a new nomination committee. Fees shall not be paid to the members of the Nomination Committee. The Nomination Committee shall have the right to charge the Company with costs for, for example, recruitment consultants or other costs required for the Nomination Committee to be able to fulfill its assignment. The above principles for how the Nomination Committee is appointed and instructions for its work shall apply until its Annual General Meeting decides to change them.</w:t>
      </w:r>
    </w:p>
    <w:p w14:paraId="5A06FAEA" w14:textId="77777777" w:rsidR="000369DA" w:rsidRPr="00E664DE" w:rsidRDefault="000369DA" w:rsidP="00D66DD4">
      <w:pPr>
        <w:rPr>
          <w:lang w:val="en-US"/>
        </w:rPr>
      </w:pPr>
    </w:p>
    <w:p w14:paraId="58D4D738" w14:textId="77777777" w:rsidR="000369DA" w:rsidRPr="00E664DE" w:rsidRDefault="000369DA" w:rsidP="000369DA">
      <w:pPr>
        <w:pStyle w:val="BodyText"/>
        <w:keepNext/>
        <w:spacing w:after="0"/>
        <w:jc w:val="both"/>
        <w:rPr>
          <w:b/>
          <w:bCs/>
          <w:iCs/>
          <w:color w:val="000000"/>
          <w:lang w:val="en-US"/>
        </w:rPr>
      </w:pPr>
      <w:r w:rsidRPr="00E664DE">
        <w:rPr>
          <w:b/>
          <w:lang w:val="en-US"/>
        </w:rPr>
        <w:t>Item 1</w:t>
      </w:r>
      <w:r w:rsidR="00FA0032">
        <w:rPr>
          <w:b/>
          <w:lang w:val="en-US"/>
        </w:rPr>
        <w:t>1</w:t>
      </w:r>
      <w:r w:rsidRPr="00E664DE">
        <w:rPr>
          <w:b/>
          <w:lang w:val="en-US"/>
        </w:rPr>
        <w:t xml:space="preserve">: Resolution </w:t>
      </w:r>
      <w:r w:rsidRPr="00E664DE">
        <w:rPr>
          <w:b/>
        </w:rPr>
        <w:t xml:space="preserve">to authorize the Board of Directors </w:t>
      </w:r>
      <w:r w:rsidRPr="00E664DE">
        <w:rPr>
          <w:b/>
          <w:bCs/>
          <w:color w:val="000000"/>
          <w:lang w:val="en-US"/>
        </w:rPr>
        <w:t>to is</w:t>
      </w:r>
      <w:r w:rsidRPr="00E664DE">
        <w:rPr>
          <w:b/>
          <w:bCs/>
          <w:iCs/>
          <w:color w:val="000000"/>
          <w:lang w:val="en-US"/>
        </w:rPr>
        <w:t>sue shares, warrants and/or convertibles</w:t>
      </w:r>
    </w:p>
    <w:p w14:paraId="785174FA" w14:textId="77777777" w:rsidR="000369DA" w:rsidRPr="00E664DE" w:rsidRDefault="000369DA" w:rsidP="000369DA">
      <w:pPr>
        <w:autoSpaceDE w:val="0"/>
        <w:autoSpaceDN w:val="0"/>
        <w:adjustRightInd w:val="0"/>
        <w:jc w:val="both"/>
        <w:rPr>
          <w:iCs/>
          <w:color w:val="000000"/>
          <w:lang w:val="en-US" w:eastAsia="en-AU"/>
        </w:rPr>
      </w:pPr>
      <w:r w:rsidRPr="00E664DE">
        <w:rPr>
          <w:iCs/>
          <w:color w:val="000000"/>
          <w:lang w:val="en-US" w:eastAsia="en-AU"/>
        </w:rPr>
        <w:t xml:space="preserve">The board of directors of the Company proposes that the annual general meeting resolves to authorize the board of directors during the period up until the next annual general meeting, on one or more occasions, to resolve to issue shares, convertibles and/or warrants, with or without preferential rights for the shareholders, corresponding to not more than 10 percent of the share capital of the Company after completed issuances based on the number of shares at the time of the annual general meeting, to be paid in cash, in kind and/or by way of set-off. </w:t>
      </w:r>
    </w:p>
    <w:p w14:paraId="6801A1C4" w14:textId="77777777" w:rsidR="005329A9" w:rsidRDefault="005329A9" w:rsidP="000369DA">
      <w:pPr>
        <w:autoSpaceDE w:val="0"/>
        <w:autoSpaceDN w:val="0"/>
        <w:adjustRightInd w:val="0"/>
        <w:jc w:val="both"/>
        <w:rPr>
          <w:bCs/>
          <w:lang w:val="en-US"/>
        </w:rPr>
      </w:pPr>
    </w:p>
    <w:p w14:paraId="21A7BB4A" w14:textId="77777777" w:rsidR="000369DA" w:rsidRPr="00E664DE" w:rsidRDefault="000369DA" w:rsidP="000369DA">
      <w:pPr>
        <w:autoSpaceDE w:val="0"/>
        <w:autoSpaceDN w:val="0"/>
        <w:adjustRightInd w:val="0"/>
        <w:jc w:val="both"/>
        <w:rPr>
          <w:iCs/>
          <w:color w:val="000000"/>
          <w:lang w:val="en-US" w:eastAsia="en-AU"/>
        </w:rPr>
      </w:pPr>
      <w:r w:rsidRPr="00E664DE">
        <w:rPr>
          <w:bCs/>
          <w:lang w:val="en-US"/>
        </w:rPr>
        <w:lastRenderedPageBreak/>
        <w:t>The purpose for the board to resolve on issuances with deviation from the shareholders preferential rights in accordance with the above is primarily for the purpose to broaden the shareholder base, raise new capital to increase flexibility of the Company or in connection with acquisitions. If issuances are carried out with deviation from the shareholders' preferential rights, such issue shall be made in accordance with customary market terms. If the board of directors finds it suitable in order to enable delivery of shares in connection with a share issuance as set out above it may be made at a subscription price corresponding to the share’s quota value.</w:t>
      </w:r>
    </w:p>
    <w:p w14:paraId="3AC8CC9E" w14:textId="77777777" w:rsidR="000369DA" w:rsidRPr="00E664DE" w:rsidRDefault="000369DA" w:rsidP="00D66DD4">
      <w:pPr>
        <w:rPr>
          <w:lang w:val="en-US"/>
        </w:rPr>
      </w:pPr>
    </w:p>
    <w:p w14:paraId="445E8EDB" w14:textId="77777777" w:rsidR="00F2278B" w:rsidRPr="00E664DE" w:rsidRDefault="00F2278B" w:rsidP="00F2278B">
      <w:pPr>
        <w:autoSpaceDE w:val="0"/>
        <w:autoSpaceDN w:val="0"/>
        <w:adjustRightInd w:val="0"/>
        <w:jc w:val="both"/>
        <w:rPr>
          <w:iCs/>
          <w:color w:val="000000"/>
          <w:lang w:val="en-US" w:eastAsia="en-AU"/>
        </w:rPr>
      </w:pPr>
      <w:r w:rsidRPr="00E664DE">
        <w:rPr>
          <w:iCs/>
          <w:color w:val="000000"/>
          <w:lang w:val="en-US" w:eastAsia="en-AU"/>
        </w:rPr>
        <w:t>The board of directors or anyone appointed by the board of directors is given the right to make the adjustments necessary in connection with the registration of the resolution at the Companies Registration Office.</w:t>
      </w:r>
    </w:p>
    <w:p w14:paraId="7A9B5001" w14:textId="77777777" w:rsidR="00F2278B" w:rsidRPr="00E664DE" w:rsidRDefault="00F2278B" w:rsidP="00D66DD4">
      <w:pPr>
        <w:rPr>
          <w:lang w:val="en-US"/>
        </w:rPr>
      </w:pPr>
    </w:p>
    <w:p w14:paraId="33593E82" w14:textId="77777777" w:rsidR="00F2278B" w:rsidRPr="00E664DE" w:rsidRDefault="00F2278B" w:rsidP="00F2278B">
      <w:pPr>
        <w:pStyle w:val="BodyText"/>
        <w:tabs>
          <w:tab w:val="left" w:pos="4500"/>
        </w:tabs>
        <w:jc w:val="both"/>
        <w:rPr>
          <w:bCs/>
          <w:lang w:val="en-US"/>
        </w:rPr>
      </w:pPr>
      <w:r w:rsidRPr="00E664DE">
        <w:rPr>
          <w:bCs/>
          <w:lang w:val="en-US"/>
        </w:rPr>
        <w:t>A resolution in accordance with this exhibit requires support by shareholders holding not less than two-thirds of both the shares voted and of the shares represented at the general meeting.</w:t>
      </w:r>
    </w:p>
    <w:p w14:paraId="01BFDCB8" w14:textId="77777777" w:rsidR="006D7DD5" w:rsidRDefault="006D7DD5" w:rsidP="00D66DD4">
      <w:pPr>
        <w:rPr>
          <w:lang w:val="en-US"/>
        </w:rPr>
      </w:pPr>
    </w:p>
    <w:p w14:paraId="38832A01" w14:textId="77777777" w:rsidR="00817770" w:rsidRPr="00E664DE" w:rsidRDefault="00817770" w:rsidP="00817770">
      <w:pPr>
        <w:rPr>
          <w:rFonts w:cstheme="minorHAnsi"/>
        </w:rPr>
      </w:pPr>
      <w:r w:rsidRPr="00E664DE">
        <w:rPr>
          <w:rFonts w:cstheme="minorHAnsi"/>
          <w:b/>
          <w:bCs/>
        </w:rPr>
        <w:t>Item 1</w:t>
      </w:r>
      <w:r w:rsidR="00FA0032">
        <w:rPr>
          <w:rFonts w:cstheme="minorHAnsi"/>
          <w:b/>
          <w:bCs/>
        </w:rPr>
        <w:t>2</w:t>
      </w:r>
      <w:r>
        <w:rPr>
          <w:rFonts w:cstheme="minorHAnsi"/>
          <w:b/>
          <w:bCs/>
        </w:rPr>
        <w:t>a</w:t>
      </w:r>
      <w:r w:rsidRPr="00E664DE">
        <w:rPr>
          <w:rFonts w:cstheme="minorHAnsi"/>
          <w:b/>
          <w:bCs/>
        </w:rPr>
        <w:t>: Resolution to issue warrants</w:t>
      </w:r>
    </w:p>
    <w:p w14:paraId="1AEF33D2" w14:textId="77777777" w:rsidR="00817770" w:rsidRPr="00E9314A" w:rsidRDefault="00817770" w:rsidP="00817770">
      <w:pPr>
        <w:jc w:val="both"/>
        <w:rPr>
          <w:rFonts w:cstheme="minorHAnsi"/>
          <w:iCs/>
          <w:lang w:val="en-US"/>
        </w:rPr>
      </w:pPr>
      <w:r w:rsidRPr="00E9314A">
        <w:rPr>
          <w:rFonts w:cstheme="minorHAnsi"/>
          <w:iCs/>
          <w:lang w:val="en-US"/>
        </w:rPr>
        <w:t>The board of directors of the Company proposes that the general meeting resolves to issue a maximum of 3</w:t>
      </w:r>
      <w:r w:rsidR="00FA0032" w:rsidRPr="00E9314A">
        <w:rPr>
          <w:rFonts w:cstheme="minorHAnsi"/>
          <w:iCs/>
          <w:lang w:val="en-US"/>
        </w:rPr>
        <w:t>12</w:t>
      </w:r>
      <w:r w:rsidRPr="00E9314A">
        <w:rPr>
          <w:rFonts w:cstheme="minorHAnsi"/>
          <w:iCs/>
          <w:lang w:val="en-US"/>
        </w:rPr>
        <w:t>,</w:t>
      </w:r>
      <w:r w:rsidR="00FA0032" w:rsidRPr="00E9314A">
        <w:rPr>
          <w:rFonts w:cstheme="minorHAnsi"/>
          <w:iCs/>
          <w:lang w:val="en-US"/>
        </w:rPr>
        <w:t>5</w:t>
      </w:r>
      <w:r w:rsidRPr="00E9314A">
        <w:rPr>
          <w:rFonts w:cstheme="minorHAnsi"/>
          <w:iCs/>
          <w:lang w:val="en-US"/>
        </w:rPr>
        <w:t>00 warrants, following which the Company's share capital may increase by no more than SEK 5,</w:t>
      </w:r>
      <w:r w:rsidR="00FA0032" w:rsidRPr="00E9314A">
        <w:rPr>
          <w:rFonts w:cstheme="minorHAnsi"/>
          <w:iCs/>
          <w:lang w:val="en-US"/>
        </w:rPr>
        <w:t>468.75</w:t>
      </w:r>
      <w:r w:rsidRPr="00E9314A">
        <w:rPr>
          <w:rFonts w:cstheme="minorHAnsi"/>
          <w:iCs/>
          <w:lang w:val="en-US"/>
        </w:rPr>
        <w:t xml:space="preserve">. The warrants shall </w:t>
      </w:r>
      <w:proofErr w:type="gramStart"/>
      <w:r w:rsidRPr="00E9314A">
        <w:rPr>
          <w:rFonts w:cstheme="minorHAnsi"/>
          <w:iCs/>
          <w:lang w:val="en-US"/>
        </w:rPr>
        <w:t>entitle</w:t>
      </w:r>
      <w:proofErr w:type="gramEnd"/>
      <w:r w:rsidRPr="00E9314A">
        <w:rPr>
          <w:rFonts w:cstheme="minorHAnsi"/>
          <w:iCs/>
          <w:lang w:val="en-US"/>
        </w:rPr>
        <w:t xml:space="preserve"> to subscription of new shares in the Company.</w:t>
      </w:r>
    </w:p>
    <w:p w14:paraId="65A3C665" w14:textId="77777777" w:rsidR="00817770" w:rsidRDefault="00817770" w:rsidP="00817770">
      <w:pPr>
        <w:rPr>
          <w:rFonts w:cstheme="minorHAnsi"/>
          <w:lang w:val="en-US"/>
        </w:rPr>
      </w:pPr>
    </w:p>
    <w:p w14:paraId="56FEF8FE" w14:textId="77777777" w:rsidR="00817770" w:rsidRPr="00E664DE" w:rsidRDefault="00817770" w:rsidP="00817770">
      <w:pPr>
        <w:rPr>
          <w:rFonts w:cstheme="minorHAnsi"/>
          <w:lang w:val="en-US"/>
        </w:rPr>
      </w:pPr>
      <w:r w:rsidRPr="00E664DE">
        <w:rPr>
          <w:rFonts w:cstheme="minorHAnsi"/>
          <w:lang w:val="en-US"/>
        </w:rPr>
        <w:t>The following terms shall apply to the issuance:</w:t>
      </w:r>
    </w:p>
    <w:p w14:paraId="0EA2FC1F" w14:textId="77777777" w:rsidR="00817770" w:rsidRPr="00E664DE" w:rsidRDefault="00817770" w:rsidP="00817770">
      <w:pPr>
        <w:rPr>
          <w:rFonts w:cstheme="minorHAnsi"/>
          <w:highlight w:val="yellow"/>
          <w:lang w:val="en-US"/>
        </w:rPr>
      </w:pPr>
    </w:p>
    <w:p w14:paraId="1DAEEE8E" w14:textId="77777777" w:rsidR="00817770" w:rsidRPr="005329A9" w:rsidRDefault="00817770" w:rsidP="00817770">
      <w:pPr>
        <w:pStyle w:val="ListParagraph"/>
        <w:widowControl w:val="0"/>
        <w:numPr>
          <w:ilvl w:val="0"/>
          <w:numId w:val="31"/>
        </w:numPr>
        <w:contextualSpacing w:val="0"/>
        <w:jc w:val="both"/>
        <w:rPr>
          <w:rFonts w:cstheme="minorHAnsi"/>
        </w:rPr>
      </w:pPr>
      <w:r w:rsidRPr="00E664DE">
        <w:rPr>
          <w:rFonts w:cstheme="minorHAnsi"/>
          <w:lang w:val="en-US"/>
        </w:rPr>
        <w:t>The Company shall be entitled to subscribe for the warrants, with the right and obligation to, at one or more occasions, transfer such warrants to senior executives, employees and key individuals which are or becomes employees in the Company or the group, at a price of no less than the warrant's market value in accordance with the Black Scholes formula and otherwise at the terms applicable in the issue in accordance with what is stated in item 1</w:t>
      </w:r>
      <w:r w:rsidR="00256D30">
        <w:rPr>
          <w:rFonts w:cstheme="minorHAnsi"/>
          <w:lang w:val="en-US"/>
        </w:rPr>
        <w:t>2</w:t>
      </w:r>
      <w:r w:rsidRPr="00E664DE">
        <w:rPr>
          <w:rFonts w:cstheme="minorHAnsi"/>
          <w:lang w:val="en-US"/>
        </w:rPr>
        <w:t>b below.</w:t>
      </w:r>
    </w:p>
    <w:p w14:paraId="5B028764" w14:textId="77777777" w:rsidR="00817770" w:rsidRPr="00E664DE" w:rsidRDefault="00817770" w:rsidP="00817770">
      <w:pPr>
        <w:pStyle w:val="ListParagraph"/>
        <w:widowControl w:val="0"/>
        <w:numPr>
          <w:ilvl w:val="0"/>
          <w:numId w:val="0"/>
        </w:numPr>
        <w:ind w:left="720"/>
        <w:contextualSpacing w:val="0"/>
        <w:jc w:val="both"/>
        <w:rPr>
          <w:rFonts w:cstheme="minorHAnsi"/>
        </w:rPr>
      </w:pPr>
    </w:p>
    <w:p w14:paraId="0B10DDF3" w14:textId="77777777" w:rsidR="00817770" w:rsidRPr="002D1DC7" w:rsidRDefault="00817770" w:rsidP="00817770">
      <w:pPr>
        <w:pStyle w:val="ListParagraph"/>
        <w:widowControl w:val="0"/>
        <w:numPr>
          <w:ilvl w:val="0"/>
          <w:numId w:val="31"/>
        </w:numPr>
        <w:contextualSpacing w:val="0"/>
        <w:jc w:val="both"/>
        <w:rPr>
          <w:rFonts w:cstheme="minorHAnsi"/>
        </w:rPr>
      </w:pPr>
      <w:r w:rsidRPr="00E664DE">
        <w:rPr>
          <w:rFonts w:cstheme="minorHAnsi"/>
        </w:rPr>
        <w:t>The warrants shall be subscribed from and includ</w:t>
      </w:r>
      <w:r w:rsidRPr="002D1DC7">
        <w:rPr>
          <w:rFonts w:cstheme="minorHAnsi"/>
        </w:rPr>
        <w:t>ing 1 June 202</w:t>
      </w:r>
      <w:r w:rsidR="00FA0032" w:rsidRPr="002D1DC7">
        <w:rPr>
          <w:rFonts w:cstheme="minorHAnsi"/>
        </w:rPr>
        <w:t>5</w:t>
      </w:r>
      <w:r w:rsidRPr="002D1DC7">
        <w:rPr>
          <w:rFonts w:cstheme="minorHAnsi"/>
        </w:rPr>
        <w:t xml:space="preserve"> up to and including 30 June 202</w:t>
      </w:r>
      <w:r w:rsidR="00FA0032" w:rsidRPr="002D1DC7">
        <w:rPr>
          <w:rFonts w:cstheme="minorHAnsi"/>
        </w:rPr>
        <w:t>5</w:t>
      </w:r>
      <w:r w:rsidRPr="002D1DC7">
        <w:rPr>
          <w:rFonts w:cstheme="minorHAnsi"/>
        </w:rPr>
        <w:t xml:space="preserve"> on a separate subscription list. The board of directors is entitled to extend the time for subscription.</w:t>
      </w:r>
    </w:p>
    <w:p w14:paraId="211F65DB" w14:textId="77777777" w:rsidR="00817770" w:rsidRPr="002D1DC7" w:rsidRDefault="00817770" w:rsidP="00817770">
      <w:pPr>
        <w:pStyle w:val="ListParagraph"/>
        <w:numPr>
          <w:ilvl w:val="0"/>
          <w:numId w:val="0"/>
        </w:numPr>
        <w:ind w:left="360"/>
        <w:rPr>
          <w:rFonts w:cstheme="minorHAnsi"/>
        </w:rPr>
      </w:pPr>
    </w:p>
    <w:p w14:paraId="4C934D56" w14:textId="77777777" w:rsidR="00817770" w:rsidRPr="002D1DC7" w:rsidRDefault="00817770" w:rsidP="00817770">
      <w:pPr>
        <w:pStyle w:val="ListParagraph"/>
        <w:widowControl w:val="0"/>
        <w:numPr>
          <w:ilvl w:val="0"/>
          <w:numId w:val="31"/>
        </w:numPr>
        <w:contextualSpacing w:val="0"/>
        <w:rPr>
          <w:rFonts w:cstheme="minorHAnsi"/>
        </w:rPr>
      </w:pPr>
      <w:r w:rsidRPr="002D1DC7">
        <w:rPr>
          <w:rFonts w:cstheme="minorHAnsi"/>
        </w:rPr>
        <w:t xml:space="preserve">The Company has the right to subscribe for the warrants at no consideration. </w:t>
      </w:r>
    </w:p>
    <w:p w14:paraId="4A0AC0B9" w14:textId="77777777" w:rsidR="00817770" w:rsidRPr="002D1DC7" w:rsidRDefault="00817770" w:rsidP="00817770">
      <w:pPr>
        <w:pStyle w:val="ListParagraph"/>
        <w:numPr>
          <w:ilvl w:val="0"/>
          <w:numId w:val="0"/>
        </w:numPr>
        <w:ind w:left="360"/>
        <w:rPr>
          <w:rFonts w:cstheme="minorHAnsi"/>
        </w:rPr>
      </w:pPr>
    </w:p>
    <w:p w14:paraId="199042F0" w14:textId="77777777" w:rsidR="00817770" w:rsidRPr="005329A9" w:rsidRDefault="00817770" w:rsidP="00817770">
      <w:pPr>
        <w:pStyle w:val="ListParagraph"/>
        <w:widowControl w:val="0"/>
        <w:numPr>
          <w:ilvl w:val="0"/>
          <w:numId w:val="31"/>
        </w:numPr>
        <w:contextualSpacing w:val="0"/>
        <w:jc w:val="both"/>
        <w:rPr>
          <w:rFonts w:cstheme="minorHAnsi"/>
        </w:rPr>
      </w:pPr>
      <w:r w:rsidRPr="002D1DC7">
        <w:rPr>
          <w:rFonts w:cstheme="minorHAnsi"/>
        </w:rPr>
        <w:t xml:space="preserve">Each warrant entitles the holder to subscribe for one new share in the Company during the period from and including </w:t>
      </w:r>
      <w:r w:rsidR="002D1DC7" w:rsidRPr="002D1DC7">
        <w:rPr>
          <w:rFonts w:cstheme="minorHAnsi"/>
        </w:rPr>
        <w:t>1</w:t>
      </w:r>
      <w:r w:rsidRPr="002D1DC7">
        <w:rPr>
          <w:rFonts w:cstheme="minorHAnsi"/>
        </w:rPr>
        <w:t xml:space="preserve"> June 202</w:t>
      </w:r>
      <w:r w:rsidR="002D1DC7" w:rsidRPr="002D1DC7">
        <w:rPr>
          <w:rFonts w:cstheme="minorHAnsi"/>
        </w:rPr>
        <w:t>8</w:t>
      </w:r>
      <w:r w:rsidRPr="002D1DC7">
        <w:rPr>
          <w:rFonts w:cstheme="minorHAnsi"/>
        </w:rPr>
        <w:t xml:space="preserve"> up to and including 30 June 202</w:t>
      </w:r>
      <w:r w:rsidR="002D1DC7" w:rsidRPr="002D1DC7">
        <w:rPr>
          <w:rFonts w:cstheme="minorHAnsi"/>
        </w:rPr>
        <w:t>8</w:t>
      </w:r>
      <w:r w:rsidRPr="002D1DC7">
        <w:rPr>
          <w:rFonts w:cstheme="minorHAnsi"/>
        </w:rPr>
        <w:t xml:space="preserve"> or the earlier day set forth in the terms for the warrants.</w:t>
      </w:r>
      <w:r w:rsidRPr="002D1DC7">
        <w:rPr>
          <w:lang w:val="en-US"/>
        </w:rPr>
        <w:t xml:space="preserve"> The board of </w:t>
      </w:r>
      <w:proofErr w:type="gramStart"/>
      <w:r w:rsidRPr="002D1DC7">
        <w:rPr>
          <w:lang w:val="en-US"/>
        </w:rPr>
        <w:t>directors shall</w:t>
      </w:r>
      <w:proofErr w:type="gramEnd"/>
      <w:r w:rsidRPr="002D1DC7">
        <w:rPr>
          <w:lang w:val="en-US"/>
        </w:rPr>
        <w:t xml:space="preserve"> have the right to extend the time for subscription for shares </w:t>
      </w:r>
      <w:proofErr w:type="gramStart"/>
      <w:r w:rsidRPr="002D1DC7">
        <w:rPr>
          <w:lang w:val="en-US"/>
        </w:rPr>
        <w:t>in the event that</w:t>
      </w:r>
      <w:proofErr w:type="gramEnd"/>
      <w:r w:rsidRPr="002D1DC7">
        <w:rPr>
          <w:lang w:val="en-US"/>
        </w:rPr>
        <w:t xml:space="preserve"> participants are pr</w:t>
      </w:r>
      <w:r w:rsidRPr="00E664DE">
        <w:rPr>
          <w:lang w:val="en-US"/>
        </w:rPr>
        <w:t>evented from subscribing for shares at the end of the subscription period due to the EU Market Abuse Regulation.</w:t>
      </w:r>
    </w:p>
    <w:p w14:paraId="4E64C0D6" w14:textId="77777777" w:rsidR="00817770" w:rsidRPr="005329A9" w:rsidRDefault="00817770" w:rsidP="00817770">
      <w:pPr>
        <w:pStyle w:val="ListParagraph"/>
        <w:numPr>
          <w:ilvl w:val="0"/>
          <w:numId w:val="0"/>
        </w:numPr>
        <w:ind w:left="360"/>
        <w:rPr>
          <w:rFonts w:cstheme="minorHAnsi"/>
        </w:rPr>
      </w:pPr>
    </w:p>
    <w:p w14:paraId="0A46AECF" w14:textId="77777777" w:rsidR="00817770" w:rsidRPr="005329A9" w:rsidRDefault="00817770" w:rsidP="00817770">
      <w:pPr>
        <w:pStyle w:val="ListParagraph"/>
        <w:numPr>
          <w:ilvl w:val="0"/>
          <w:numId w:val="31"/>
        </w:numPr>
        <w:jc w:val="both"/>
        <w:rPr>
          <w:rFonts w:cstheme="minorHAnsi"/>
          <w:lang w:val="en-US"/>
        </w:rPr>
      </w:pPr>
      <w:r w:rsidRPr="00E664DE">
        <w:rPr>
          <w:rFonts w:cstheme="minorHAnsi"/>
        </w:rPr>
        <w:t xml:space="preserve">The subscription price shall be determined at a price corresponding to 130 percent of </w:t>
      </w:r>
      <w:proofErr w:type="spellStart"/>
      <w:r w:rsidRPr="00E664DE">
        <w:rPr>
          <w:rFonts w:cstheme="minorHAnsi"/>
        </w:rPr>
        <w:t>th</w:t>
      </w:r>
      <w:proofErr w:type="spellEnd"/>
      <w:r w:rsidRPr="00817770">
        <w:rPr>
          <w:rFonts w:cstheme="minorHAnsi"/>
          <w:lang w:val="en-US"/>
        </w:rPr>
        <w:t>e average volume weighted price for the Company's share as quoted on Nasdaq First North Premier Growth Market from and including 7 May 202</w:t>
      </w:r>
      <w:r w:rsidR="002D1DC7">
        <w:rPr>
          <w:rFonts w:cstheme="minorHAnsi"/>
          <w:lang w:val="en-US"/>
        </w:rPr>
        <w:t>5</w:t>
      </w:r>
      <w:r w:rsidRPr="00817770">
        <w:rPr>
          <w:rFonts w:cstheme="minorHAnsi"/>
          <w:lang w:val="en-US"/>
        </w:rPr>
        <w:t xml:space="preserve"> up to and including </w:t>
      </w:r>
      <w:r w:rsidR="002D1DC7">
        <w:rPr>
          <w:rFonts w:cstheme="minorHAnsi"/>
          <w:lang w:val="en-US"/>
        </w:rPr>
        <w:t>20</w:t>
      </w:r>
      <w:r w:rsidRPr="00817770">
        <w:rPr>
          <w:rFonts w:cstheme="minorHAnsi"/>
          <w:lang w:val="en-US"/>
        </w:rPr>
        <w:t xml:space="preserve"> May 202</w:t>
      </w:r>
      <w:r w:rsidR="002D1DC7">
        <w:rPr>
          <w:rFonts w:cstheme="minorHAnsi"/>
          <w:lang w:val="en-US"/>
        </w:rPr>
        <w:t>5</w:t>
      </w:r>
      <w:r w:rsidRPr="00817770">
        <w:rPr>
          <w:rFonts w:cstheme="minorHAnsi"/>
          <w:lang w:val="en-US"/>
        </w:rPr>
        <w:t xml:space="preserve">. The calculated subscription price shall be rounded off to nearest even hundredth of a SEK, whereupon SEK 0.005 will be rounded to SEK 0.01. The subscription price may not be set </w:t>
      </w:r>
      <w:r w:rsidRPr="00817770">
        <w:rPr>
          <w:rFonts w:cstheme="minorHAnsi"/>
          <w:lang w:val="en-US"/>
        </w:rPr>
        <w:lastRenderedPageBreak/>
        <w:t xml:space="preserve">below the quota value of the share. The share premium shall be transferred to the </w:t>
      </w:r>
      <w:r w:rsidRPr="00E664DE">
        <w:rPr>
          <w:rFonts w:cstheme="minorHAnsi"/>
        </w:rPr>
        <w:t>unrestricted premium reserve.</w:t>
      </w:r>
    </w:p>
    <w:p w14:paraId="54ACDF3D" w14:textId="77777777" w:rsidR="00817770" w:rsidRPr="005329A9" w:rsidRDefault="00817770" w:rsidP="00817770">
      <w:pPr>
        <w:pStyle w:val="ListParagraph"/>
        <w:numPr>
          <w:ilvl w:val="0"/>
          <w:numId w:val="0"/>
        </w:numPr>
        <w:ind w:left="360"/>
        <w:rPr>
          <w:rFonts w:cstheme="minorHAnsi"/>
          <w:lang w:val="en-US"/>
        </w:rPr>
      </w:pPr>
    </w:p>
    <w:p w14:paraId="06FD0F2A" w14:textId="77777777" w:rsidR="00817770" w:rsidRDefault="00817770" w:rsidP="00817770">
      <w:pPr>
        <w:pStyle w:val="ListParagraph"/>
        <w:widowControl w:val="0"/>
        <w:numPr>
          <w:ilvl w:val="0"/>
          <w:numId w:val="31"/>
        </w:numPr>
        <w:contextualSpacing w:val="0"/>
        <w:jc w:val="both"/>
        <w:rPr>
          <w:rFonts w:cstheme="minorHAnsi"/>
          <w:lang w:val="en-US"/>
        </w:rPr>
      </w:pPr>
      <w:r w:rsidRPr="00E664DE">
        <w:rPr>
          <w:rFonts w:cstheme="minorHAnsi"/>
          <w:lang w:val="en-US"/>
        </w:rPr>
        <w:t>A new share subscribed for by exercise of a warrant has a right to dividends as of the first record day for dividends following registration of the new share issue with the Companies Registration Office and after the share has been registered in the share register maintained by Euroclear Sweden AB.</w:t>
      </w:r>
    </w:p>
    <w:p w14:paraId="353B763B" w14:textId="77777777" w:rsidR="00817770" w:rsidRPr="005329A9" w:rsidRDefault="00817770" w:rsidP="00817770">
      <w:pPr>
        <w:pStyle w:val="ListParagraph"/>
        <w:numPr>
          <w:ilvl w:val="0"/>
          <w:numId w:val="0"/>
        </w:numPr>
        <w:ind w:left="360"/>
        <w:rPr>
          <w:rFonts w:cstheme="minorHAnsi"/>
          <w:lang w:val="en-US"/>
        </w:rPr>
      </w:pPr>
    </w:p>
    <w:p w14:paraId="45338336" w14:textId="77777777" w:rsidR="00817770" w:rsidRDefault="00817770" w:rsidP="00817770">
      <w:pPr>
        <w:pStyle w:val="ListParagraph"/>
        <w:keepNext/>
        <w:widowControl w:val="0"/>
        <w:numPr>
          <w:ilvl w:val="0"/>
          <w:numId w:val="31"/>
        </w:numPr>
        <w:contextualSpacing w:val="0"/>
        <w:jc w:val="both"/>
        <w:rPr>
          <w:rFonts w:cstheme="minorHAnsi"/>
        </w:rPr>
      </w:pPr>
      <w:r w:rsidRPr="00E664DE">
        <w:rPr>
          <w:rFonts w:cstheme="minorHAnsi"/>
        </w:rPr>
        <w:t xml:space="preserve">The purpose of the issuance, and the deviation from the shareholders' preferential rights, is to establish </w:t>
      </w:r>
      <w:r w:rsidRPr="00E664DE">
        <w:rPr>
          <w:rFonts w:cstheme="minorHAnsi"/>
          <w:lang w:val="en-US"/>
        </w:rPr>
        <w:t>Incentive</w:t>
      </w:r>
      <w:r w:rsidRPr="00E664DE">
        <w:rPr>
          <w:rFonts w:cstheme="minorHAnsi"/>
        </w:rPr>
        <w:t xml:space="preserve"> Program 202</w:t>
      </w:r>
      <w:r>
        <w:rPr>
          <w:rFonts w:cstheme="minorHAnsi"/>
        </w:rPr>
        <w:t>5</w:t>
      </w:r>
      <w:r w:rsidRPr="00E664DE">
        <w:rPr>
          <w:rFonts w:cstheme="minorHAnsi"/>
        </w:rPr>
        <w:t>/202</w:t>
      </w:r>
      <w:r>
        <w:rPr>
          <w:rFonts w:cstheme="minorHAnsi"/>
        </w:rPr>
        <w:t>8</w:t>
      </w:r>
      <w:r w:rsidRPr="00E664DE">
        <w:rPr>
          <w:rFonts w:cstheme="minorHAnsi"/>
        </w:rPr>
        <w:t xml:space="preserve">. The purpose is to create conditions to retain and increase motivation with senior executives, employees and other key individuals in the Company and the group. The board of directors is of the opinion that it is in all shareholders' interests </w:t>
      </w:r>
      <w:proofErr w:type="gramStart"/>
      <w:r w:rsidRPr="00E664DE">
        <w:rPr>
          <w:rFonts w:cstheme="minorHAnsi"/>
        </w:rPr>
        <w:t>that senior executives, employees and other key individuals</w:t>
      </w:r>
      <w:proofErr w:type="gramEnd"/>
      <w:r w:rsidRPr="00E664DE">
        <w:rPr>
          <w:rFonts w:cstheme="minorHAnsi"/>
        </w:rPr>
        <w:t>, which are assessed to be of importance for the development of the group, have a long-term interest of a positive value growth in the Company's shares. A long-term ownership engagement is expected to stimulate increased interest in the business and the earnings development in general as well as increasing the motivation for the participants and aims to achieve increased privity between the participant and the Company's shareholders. Furthermore, the program is expected to increase the possibility of recruiting competent personnel.</w:t>
      </w:r>
    </w:p>
    <w:p w14:paraId="643D76EC" w14:textId="77777777" w:rsidR="00817770" w:rsidRPr="005329A9" w:rsidRDefault="00817770" w:rsidP="00817770">
      <w:pPr>
        <w:pStyle w:val="ListParagraph"/>
        <w:numPr>
          <w:ilvl w:val="0"/>
          <w:numId w:val="0"/>
        </w:numPr>
        <w:ind w:left="360"/>
        <w:rPr>
          <w:rFonts w:cstheme="minorHAnsi"/>
        </w:rPr>
      </w:pPr>
    </w:p>
    <w:p w14:paraId="25082071" w14:textId="77777777" w:rsidR="00817770" w:rsidRPr="005329A9" w:rsidRDefault="00817770" w:rsidP="00817770">
      <w:pPr>
        <w:pStyle w:val="ListParagraph"/>
        <w:widowControl w:val="0"/>
        <w:numPr>
          <w:ilvl w:val="0"/>
          <w:numId w:val="31"/>
        </w:numPr>
        <w:contextualSpacing w:val="0"/>
        <w:jc w:val="both"/>
        <w:rPr>
          <w:rFonts w:cstheme="minorHAnsi"/>
        </w:rPr>
      </w:pPr>
      <w:r w:rsidRPr="00E664DE">
        <w:rPr>
          <w:rFonts w:cstheme="minorHAnsi"/>
          <w:lang w:val="en-US"/>
        </w:rPr>
        <w:t>The complete terms and conditions for the warrants are available at Company at least two weeks before the general meeting, which inter alia includes conditions regarding re-calculation, in certain cases, of the subscription price and the number of shares a warrant entitles to.</w:t>
      </w:r>
    </w:p>
    <w:p w14:paraId="43D14752" w14:textId="77777777" w:rsidR="00817770" w:rsidRPr="005329A9" w:rsidRDefault="00817770" w:rsidP="00817770">
      <w:pPr>
        <w:pStyle w:val="ListParagraph"/>
        <w:numPr>
          <w:ilvl w:val="0"/>
          <w:numId w:val="0"/>
        </w:numPr>
        <w:ind w:left="360"/>
        <w:rPr>
          <w:rFonts w:cstheme="minorHAnsi"/>
        </w:rPr>
      </w:pPr>
    </w:p>
    <w:p w14:paraId="4EA9FE70" w14:textId="77777777" w:rsidR="00817770" w:rsidRPr="00E664DE" w:rsidRDefault="00817770" w:rsidP="00817770">
      <w:pPr>
        <w:pStyle w:val="ListParagraph"/>
        <w:widowControl w:val="0"/>
        <w:numPr>
          <w:ilvl w:val="0"/>
          <w:numId w:val="31"/>
        </w:numPr>
        <w:contextualSpacing w:val="0"/>
        <w:jc w:val="both"/>
        <w:rPr>
          <w:rFonts w:cstheme="minorHAnsi"/>
        </w:rPr>
      </w:pPr>
      <w:r w:rsidRPr="00E664DE">
        <w:rPr>
          <w:rFonts w:cstheme="minorHAnsi"/>
          <w:lang w:val="en-US"/>
        </w:rPr>
        <w:t>The board of directors or a person nominated by it, shall be authorized to make such minor adjustments as may be required in connection with registration of the resolution with the Swedish Companies Registration Office and, if applicable, Euroclear Sweden AB.</w:t>
      </w:r>
    </w:p>
    <w:p w14:paraId="6A92ECDF" w14:textId="77777777" w:rsidR="00817770" w:rsidRPr="00E664DE" w:rsidRDefault="00817770" w:rsidP="00817770">
      <w:pPr>
        <w:pStyle w:val="BodyText"/>
        <w:spacing w:after="0"/>
        <w:rPr>
          <w:rFonts w:cstheme="minorHAnsi"/>
          <w:b/>
          <w:bCs/>
        </w:rPr>
      </w:pPr>
    </w:p>
    <w:p w14:paraId="21960D37" w14:textId="77777777" w:rsidR="00817770" w:rsidRPr="00E664DE" w:rsidRDefault="00817770" w:rsidP="00817770">
      <w:pPr>
        <w:pStyle w:val="BodyText"/>
        <w:spacing w:after="0"/>
        <w:rPr>
          <w:rFonts w:cstheme="minorHAnsi"/>
          <w:b/>
          <w:bCs/>
          <w:lang w:val="en-US"/>
        </w:rPr>
      </w:pPr>
      <w:r w:rsidRPr="00E664DE">
        <w:rPr>
          <w:rFonts w:cstheme="minorHAnsi"/>
          <w:b/>
          <w:bCs/>
          <w:lang w:val="en-US"/>
        </w:rPr>
        <w:t>Item 1</w:t>
      </w:r>
      <w:r w:rsidR="002D1DC7">
        <w:rPr>
          <w:rFonts w:cstheme="minorHAnsi"/>
          <w:b/>
          <w:bCs/>
          <w:lang w:val="en-US"/>
        </w:rPr>
        <w:t>2</w:t>
      </w:r>
      <w:r w:rsidRPr="00E664DE">
        <w:rPr>
          <w:rFonts w:cstheme="minorHAnsi"/>
          <w:b/>
          <w:bCs/>
          <w:lang w:val="en-US"/>
        </w:rPr>
        <w:t>b: Resolution regarding approval of transfer of warrants</w:t>
      </w:r>
    </w:p>
    <w:p w14:paraId="1485C788" w14:textId="77777777" w:rsidR="00817770" w:rsidRPr="00E5094F" w:rsidRDefault="00817770" w:rsidP="00817770">
      <w:pPr>
        <w:jc w:val="both"/>
        <w:rPr>
          <w:rFonts w:cstheme="minorHAnsi"/>
          <w:lang w:val="en-US"/>
        </w:rPr>
      </w:pPr>
      <w:r w:rsidRPr="00E664DE">
        <w:rPr>
          <w:rFonts w:cstheme="minorHAnsi"/>
          <w:lang w:val="en-US"/>
        </w:rPr>
        <w:t>The board of directors of the Company propose that the general meeting resolves to approve that the Company may transfer such number of warrants in the Company of series 202</w:t>
      </w:r>
      <w:r w:rsidR="00AB6274">
        <w:rPr>
          <w:rFonts w:cstheme="minorHAnsi"/>
          <w:lang w:val="en-US"/>
        </w:rPr>
        <w:t>5</w:t>
      </w:r>
      <w:r w:rsidRPr="00E664DE">
        <w:rPr>
          <w:rFonts w:cstheme="minorHAnsi"/>
          <w:lang w:val="en-US"/>
        </w:rPr>
        <w:t>/202</w:t>
      </w:r>
      <w:r w:rsidR="00AB6274">
        <w:rPr>
          <w:rFonts w:cstheme="minorHAnsi"/>
          <w:lang w:val="en-US"/>
        </w:rPr>
        <w:t>8</w:t>
      </w:r>
      <w:r w:rsidRPr="00E664DE">
        <w:rPr>
          <w:rFonts w:cstheme="minorHAnsi"/>
          <w:lang w:val="en-US"/>
        </w:rPr>
        <w:t>, to current and future senior executives, employees and other key individuals in the Company and the group, or otherwise dispose of th</w:t>
      </w:r>
      <w:r w:rsidRPr="00E5094F">
        <w:rPr>
          <w:rFonts w:cstheme="minorHAnsi"/>
          <w:lang w:val="en-US"/>
        </w:rPr>
        <w:t>e warrants in order to ensure the Company's obligations under Incentive Program 202</w:t>
      </w:r>
      <w:r w:rsidR="00AB6274" w:rsidRPr="00E5094F">
        <w:rPr>
          <w:rFonts w:cstheme="minorHAnsi"/>
          <w:lang w:val="en-US"/>
        </w:rPr>
        <w:t>5</w:t>
      </w:r>
      <w:r w:rsidRPr="00E5094F">
        <w:rPr>
          <w:rFonts w:cstheme="minorHAnsi"/>
          <w:lang w:val="en-US"/>
        </w:rPr>
        <w:t>/202</w:t>
      </w:r>
      <w:r w:rsidR="00AB6274" w:rsidRPr="00E5094F">
        <w:rPr>
          <w:rFonts w:cstheme="minorHAnsi"/>
          <w:lang w:val="en-US"/>
        </w:rPr>
        <w:t>8</w:t>
      </w:r>
      <w:r w:rsidRPr="00E5094F">
        <w:rPr>
          <w:rFonts w:cstheme="minorHAnsi"/>
          <w:lang w:val="en-US"/>
        </w:rPr>
        <w:t xml:space="preserve"> in accordance with what is stated in this item 12b. Transfer of the warrants may only be made up until 30 </w:t>
      </w:r>
      <w:r w:rsidR="002D1DC7" w:rsidRPr="00E5094F">
        <w:rPr>
          <w:rFonts w:cstheme="minorHAnsi"/>
          <w:lang w:val="en-US"/>
        </w:rPr>
        <w:t>June</w:t>
      </w:r>
      <w:r w:rsidRPr="00E5094F">
        <w:rPr>
          <w:rFonts w:cstheme="minorHAnsi"/>
          <w:lang w:val="en-US"/>
        </w:rPr>
        <w:t xml:space="preserve"> 202</w:t>
      </w:r>
      <w:r w:rsidR="002D1DC7" w:rsidRPr="00E5094F">
        <w:rPr>
          <w:rFonts w:cstheme="minorHAnsi"/>
          <w:lang w:val="en-US"/>
        </w:rPr>
        <w:t>5</w:t>
      </w:r>
      <w:r w:rsidRPr="00E5094F">
        <w:rPr>
          <w:rFonts w:cstheme="minorHAnsi"/>
          <w:lang w:val="en-US"/>
        </w:rPr>
        <w:t>.</w:t>
      </w:r>
    </w:p>
    <w:p w14:paraId="6B4469FF" w14:textId="77777777" w:rsidR="00817770" w:rsidRPr="00E664DE" w:rsidRDefault="00817770" w:rsidP="00817770">
      <w:pPr>
        <w:widowControl w:val="0"/>
        <w:jc w:val="both"/>
        <w:rPr>
          <w:rFonts w:cstheme="minorHAnsi"/>
          <w:lang w:val="en-US"/>
        </w:rPr>
      </w:pPr>
    </w:p>
    <w:p w14:paraId="3AA34151" w14:textId="77777777" w:rsidR="00817770" w:rsidRPr="00E664DE" w:rsidRDefault="00817770" w:rsidP="00817770">
      <w:pPr>
        <w:widowControl w:val="0"/>
        <w:jc w:val="both"/>
        <w:rPr>
          <w:rFonts w:cstheme="minorHAnsi"/>
          <w:highlight w:val="yellow"/>
          <w:lang w:val="en-US"/>
        </w:rPr>
      </w:pPr>
      <w:r w:rsidRPr="00E664DE">
        <w:rPr>
          <w:rFonts w:cstheme="minorHAnsi"/>
          <w:lang w:val="en-US"/>
        </w:rPr>
        <w:t>Senior executives, employees and other key individuals within the Company and the group within the framework of Incentive Program 202</w:t>
      </w:r>
      <w:r w:rsidR="00AB6274">
        <w:rPr>
          <w:rFonts w:cstheme="minorHAnsi"/>
          <w:lang w:val="en-US"/>
        </w:rPr>
        <w:t>5</w:t>
      </w:r>
      <w:r w:rsidRPr="00E664DE">
        <w:rPr>
          <w:rFonts w:cstheme="minorHAnsi"/>
          <w:lang w:val="en-US"/>
        </w:rPr>
        <w:t>/202</w:t>
      </w:r>
      <w:r w:rsidR="00AB6274">
        <w:rPr>
          <w:rFonts w:cstheme="minorHAnsi"/>
          <w:lang w:val="en-US"/>
        </w:rPr>
        <w:t>8</w:t>
      </w:r>
      <w:r w:rsidRPr="00E664DE">
        <w:rPr>
          <w:rFonts w:cstheme="minorHAnsi"/>
          <w:lang w:val="en-US"/>
        </w:rPr>
        <w:t xml:space="preserve"> be offered to purchase warrants within the framework of three different categories in accordance with the following:</w:t>
      </w:r>
    </w:p>
    <w:p w14:paraId="240D86A3" w14:textId="77777777" w:rsidR="00817770" w:rsidRPr="00E664DE" w:rsidRDefault="00817770" w:rsidP="00817770">
      <w:pPr>
        <w:jc w:val="both"/>
        <w:rPr>
          <w:rFonts w:cstheme="minorHAnsi"/>
          <w:lang w:val="en-US"/>
        </w:rPr>
      </w:pPr>
    </w:p>
    <w:p w14:paraId="35F2D642" w14:textId="7CAB5FE2" w:rsidR="00817770" w:rsidRPr="002D1DC7" w:rsidRDefault="00817770" w:rsidP="00817770">
      <w:pPr>
        <w:pStyle w:val="ListParagraph"/>
        <w:widowControl w:val="0"/>
        <w:numPr>
          <w:ilvl w:val="0"/>
          <w:numId w:val="32"/>
        </w:numPr>
        <w:contextualSpacing w:val="0"/>
        <w:rPr>
          <w:lang w:val="en-US"/>
        </w:rPr>
      </w:pPr>
      <w:r w:rsidRPr="00E664DE">
        <w:rPr>
          <w:lang w:val="en-US"/>
        </w:rPr>
        <w:t>The CEO who may be offered a maximum o</w:t>
      </w:r>
      <w:r w:rsidRPr="002D1DC7">
        <w:rPr>
          <w:lang w:val="en-US"/>
        </w:rPr>
        <w:t xml:space="preserve">f </w:t>
      </w:r>
      <w:r w:rsidR="000144E4">
        <w:rPr>
          <w:lang w:val="en-US"/>
        </w:rPr>
        <w:t>22</w:t>
      </w:r>
      <w:r w:rsidRPr="002D1DC7">
        <w:rPr>
          <w:lang w:val="en-US"/>
        </w:rPr>
        <w:t>,</w:t>
      </w:r>
      <w:r w:rsidR="000144E4">
        <w:rPr>
          <w:lang w:val="en-US"/>
        </w:rPr>
        <w:t>5</w:t>
      </w:r>
      <w:r w:rsidRPr="002D1DC7">
        <w:rPr>
          <w:lang w:val="en-US"/>
        </w:rPr>
        <w:t xml:space="preserve">00 </w:t>
      </w:r>
      <w:proofErr w:type="gramStart"/>
      <w:r w:rsidRPr="002D1DC7">
        <w:rPr>
          <w:lang w:val="en-US"/>
        </w:rPr>
        <w:t>warrants;</w:t>
      </w:r>
      <w:proofErr w:type="gramEnd"/>
    </w:p>
    <w:p w14:paraId="401280E9" w14:textId="77777777" w:rsidR="00817770" w:rsidRPr="002D1DC7" w:rsidRDefault="00817770" w:rsidP="00817770">
      <w:pPr>
        <w:pStyle w:val="ListParagraph"/>
        <w:widowControl w:val="0"/>
        <w:numPr>
          <w:ilvl w:val="0"/>
          <w:numId w:val="0"/>
        </w:numPr>
        <w:ind w:left="720"/>
        <w:contextualSpacing w:val="0"/>
        <w:rPr>
          <w:lang w:val="en-US"/>
        </w:rPr>
      </w:pPr>
    </w:p>
    <w:p w14:paraId="20E849CE" w14:textId="2F5EA894" w:rsidR="00817770" w:rsidRPr="002D1DC7" w:rsidRDefault="00817770" w:rsidP="00817770">
      <w:pPr>
        <w:pStyle w:val="ListParagraph"/>
        <w:numPr>
          <w:ilvl w:val="0"/>
          <w:numId w:val="32"/>
        </w:numPr>
        <w:jc w:val="both"/>
        <w:rPr>
          <w:rFonts w:eastAsiaTheme="minorEastAsia" w:cstheme="minorHAnsi"/>
          <w:lang w:val="en-US"/>
        </w:rPr>
      </w:pPr>
      <w:r w:rsidRPr="002D1DC7">
        <w:rPr>
          <w:rFonts w:eastAsiaTheme="minorEastAsia" w:cstheme="minorHAnsi"/>
          <w:lang w:val="en-US"/>
        </w:rPr>
        <w:t xml:space="preserve">Senior executives (excluding the CEO of the Company) consisting of up to </w:t>
      </w:r>
      <w:r w:rsidR="000144E4">
        <w:rPr>
          <w:rFonts w:eastAsiaTheme="minorEastAsia" w:cstheme="minorHAnsi"/>
          <w:lang w:val="en-US"/>
        </w:rPr>
        <w:t>elev</w:t>
      </w:r>
      <w:r w:rsidR="000144E4">
        <w:rPr>
          <w:rFonts w:eastAsiaTheme="minorEastAsia" w:cstheme="minorHAnsi"/>
          <w:lang w:val="en-US"/>
        </w:rPr>
        <w:t>en</w:t>
      </w:r>
      <w:r w:rsidR="00E9314A" w:rsidRPr="002D1DC7">
        <w:rPr>
          <w:rFonts w:eastAsiaTheme="minorEastAsia" w:cstheme="minorHAnsi"/>
          <w:lang w:val="en-US"/>
        </w:rPr>
        <w:t xml:space="preserve"> </w:t>
      </w:r>
      <w:r w:rsidRPr="002D1DC7">
        <w:rPr>
          <w:rFonts w:eastAsiaTheme="minorEastAsia" w:cstheme="minorHAnsi"/>
          <w:lang w:val="en-US"/>
        </w:rPr>
        <w:t>positi</w:t>
      </w:r>
      <w:r w:rsidRPr="002D1DC7">
        <w:rPr>
          <w:rFonts w:eastAsiaTheme="minorEastAsia" w:cstheme="minorHAnsi"/>
          <w:lang w:val="en-US"/>
        </w:rPr>
        <w:t xml:space="preserve">ons, of which each may be offered a maximum of </w:t>
      </w:r>
      <w:r w:rsidR="000144E4">
        <w:rPr>
          <w:rFonts w:eastAsiaTheme="minorEastAsia" w:cstheme="minorHAnsi"/>
          <w:lang w:val="en-US"/>
        </w:rPr>
        <w:t>20</w:t>
      </w:r>
      <w:r w:rsidRPr="002D1DC7">
        <w:rPr>
          <w:rFonts w:eastAsiaTheme="minorEastAsia" w:cstheme="minorHAnsi"/>
          <w:lang w:val="en-US"/>
        </w:rPr>
        <w:t>,</w:t>
      </w:r>
      <w:r w:rsidR="000144E4">
        <w:rPr>
          <w:rFonts w:eastAsiaTheme="minorEastAsia" w:cstheme="minorHAnsi"/>
          <w:lang w:val="en-US"/>
        </w:rPr>
        <w:t>0</w:t>
      </w:r>
      <w:r w:rsidRPr="002D1DC7">
        <w:rPr>
          <w:rFonts w:eastAsiaTheme="minorEastAsia" w:cstheme="minorHAnsi"/>
          <w:lang w:val="en-US"/>
        </w:rPr>
        <w:t xml:space="preserve">00 warrants, however </w:t>
      </w:r>
      <w:proofErr w:type="spellStart"/>
      <w:r w:rsidRPr="002D1DC7">
        <w:rPr>
          <w:rFonts w:eastAsiaTheme="minorEastAsia" w:cstheme="minorHAnsi"/>
          <w:lang w:val="en-US"/>
        </w:rPr>
        <w:t>totalling</w:t>
      </w:r>
      <w:proofErr w:type="spellEnd"/>
      <w:r w:rsidRPr="002D1DC7">
        <w:rPr>
          <w:rFonts w:eastAsiaTheme="minorEastAsia" w:cstheme="minorHAnsi"/>
          <w:lang w:val="en-US"/>
        </w:rPr>
        <w:t xml:space="preserve"> a maximum of </w:t>
      </w:r>
      <w:r w:rsidR="000144E4">
        <w:rPr>
          <w:rFonts w:eastAsiaTheme="minorEastAsia" w:cstheme="minorHAnsi"/>
          <w:lang w:val="en-US"/>
        </w:rPr>
        <w:t>110</w:t>
      </w:r>
      <w:r w:rsidRPr="002D1DC7">
        <w:rPr>
          <w:rFonts w:eastAsiaTheme="minorEastAsia" w:cstheme="minorHAnsi"/>
          <w:lang w:val="en-US"/>
        </w:rPr>
        <w:t>,</w:t>
      </w:r>
      <w:r w:rsidR="002D1DC7" w:rsidRPr="002D1DC7">
        <w:rPr>
          <w:rFonts w:eastAsiaTheme="minorEastAsia" w:cstheme="minorHAnsi"/>
          <w:lang w:val="en-US"/>
        </w:rPr>
        <w:t>0</w:t>
      </w:r>
      <w:r w:rsidRPr="002D1DC7">
        <w:rPr>
          <w:rFonts w:eastAsiaTheme="minorEastAsia" w:cstheme="minorHAnsi"/>
          <w:lang w:val="en-US"/>
        </w:rPr>
        <w:t>00 warrants; and</w:t>
      </w:r>
    </w:p>
    <w:p w14:paraId="0A64318A" w14:textId="77777777" w:rsidR="00817770" w:rsidRPr="002D1DC7" w:rsidRDefault="00817770" w:rsidP="00817770">
      <w:pPr>
        <w:pStyle w:val="ListParagraph"/>
        <w:numPr>
          <w:ilvl w:val="0"/>
          <w:numId w:val="0"/>
        </w:numPr>
        <w:ind w:left="360"/>
        <w:rPr>
          <w:rFonts w:eastAsiaTheme="minorEastAsia" w:cstheme="minorHAnsi"/>
          <w:lang w:val="en-US"/>
        </w:rPr>
      </w:pPr>
    </w:p>
    <w:p w14:paraId="40CD3C78" w14:textId="792C30F2" w:rsidR="00817770" w:rsidRPr="002D1DC7" w:rsidRDefault="00817770" w:rsidP="00817770">
      <w:pPr>
        <w:pStyle w:val="ListParagraph"/>
        <w:widowControl w:val="0"/>
        <w:numPr>
          <w:ilvl w:val="0"/>
          <w:numId w:val="32"/>
        </w:numPr>
        <w:contextualSpacing w:val="0"/>
        <w:jc w:val="both"/>
      </w:pPr>
      <w:r w:rsidRPr="002D1DC7">
        <w:t xml:space="preserve">Other employees and key individuals in the group consisting of up to </w:t>
      </w:r>
      <w:r w:rsidR="000144E4">
        <w:t>24</w:t>
      </w:r>
      <w:r w:rsidRPr="002D1DC7">
        <w:t xml:space="preserve"> individuals, of which each may be offered a maximum of 1</w:t>
      </w:r>
      <w:r w:rsidR="000144E4">
        <w:t>5</w:t>
      </w:r>
      <w:r w:rsidRPr="002D1DC7">
        <w:t>,</w:t>
      </w:r>
      <w:r w:rsidR="000144E4">
        <w:t>0</w:t>
      </w:r>
      <w:r w:rsidRPr="002D1DC7">
        <w:t xml:space="preserve">00 warrants, however totalling a maximum of </w:t>
      </w:r>
      <w:r w:rsidR="000144E4">
        <w:t>180</w:t>
      </w:r>
      <w:r w:rsidRPr="002D1DC7">
        <w:t>,</w:t>
      </w:r>
      <w:r w:rsidR="002D1DC7" w:rsidRPr="002D1DC7">
        <w:t>1</w:t>
      </w:r>
      <w:r w:rsidRPr="002D1DC7">
        <w:t>00 warrants.</w:t>
      </w:r>
    </w:p>
    <w:p w14:paraId="1C95B06C" w14:textId="77777777" w:rsidR="00817770" w:rsidRPr="00E664DE" w:rsidRDefault="00817770" w:rsidP="00817770">
      <w:pPr>
        <w:pStyle w:val="BodyText"/>
        <w:spacing w:after="0"/>
        <w:rPr>
          <w:rFonts w:cstheme="minorHAnsi"/>
          <w:highlight w:val="yellow"/>
          <w:lang w:val="en-US"/>
        </w:rPr>
      </w:pPr>
    </w:p>
    <w:p w14:paraId="359DD722" w14:textId="77777777" w:rsidR="00817770" w:rsidRPr="00E664DE" w:rsidRDefault="00817770" w:rsidP="00817770">
      <w:pPr>
        <w:jc w:val="both"/>
        <w:rPr>
          <w:rFonts w:cstheme="minorHAnsi"/>
          <w:lang w:val="en-US"/>
        </w:rPr>
      </w:pPr>
      <w:r w:rsidRPr="00E664DE">
        <w:rPr>
          <w:rFonts w:cstheme="minorHAnsi"/>
          <w:lang w:val="en-US"/>
        </w:rPr>
        <w:t>The Company shall be entitled to retain warrants which are later to be offered to existing (who does not purchase their full share) and future senior executive</w:t>
      </w:r>
      <w:r w:rsidRPr="00E5094F">
        <w:rPr>
          <w:rFonts w:cstheme="minorHAnsi"/>
          <w:lang w:val="en-US"/>
        </w:rPr>
        <w:t xml:space="preserve">s, employees and other key individuals in the group within the framework of the proposed principles for acquisition and allotment. </w:t>
      </w:r>
      <w:proofErr w:type="gramStart"/>
      <w:r w:rsidRPr="00E5094F">
        <w:rPr>
          <w:rFonts w:cstheme="minorHAnsi"/>
          <w:lang w:val="en-US"/>
        </w:rPr>
        <w:t>In the event that</w:t>
      </w:r>
      <w:proofErr w:type="gramEnd"/>
      <w:r w:rsidRPr="00E5094F">
        <w:rPr>
          <w:rFonts w:cstheme="minorHAnsi"/>
          <w:lang w:val="en-US"/>
        </w:rPr>
        <w:t xml:space="preserve"> any individual within the abovementioned categories does not subscribe for their full share before 30 </w:t>
      </w:r>
      <w:proofErr w:type="gramStart"/>
      <w:r w:rsidRPr="00E5094F">
        <w:rPr>
          <w:rFonts w:cstheme="minorHAnsi"/>
          <w:lang w:val="en-US"/>
        </w:rPr>
        <w:t>June,</w:t>
      </w:r>
      <w:proofErr w:type="gramEnd"/>
      <w:r w:rsidRPr="00E5094F">
        <w:rPr>
          <w:rFonts w:cstheme="minorHAnsi"/>
          <w:lang w:val="en-US"/>
        </w:rPr>
        <w:t xml:space="preserve"> 202</w:t>
      </w:r>
      <w:r w:rsidR="002D1DC7" w:rsidRPr="00E5094F">
        <w:rPr>
          <w:rFonts w:cstheme="minorHAnsi"/>
          <w:lang w:val="en-US"/>
        </w:rPr>
        <w:t>5</w:t>
      </w:r>
      <w:r w:rsidRPr="00E5094F">
        <w:rPr>
          <w:rFonts w:cstheme="minorHAnsi"/>
          <w:lang w:val="en-US"/>
        </w:rPr>
        <w:t>, such share may be transferred to another category and</w:t>
      </w:r>
      <w:r w:rsidRPr="00E5094F">
        <w:t xml:space="preserve"> then exceed the maximum number of options for the category mentioned above</w:t>
      </w:r>
      <w:r w:rsidRPr="00E5094F">
        <w:rPr>
          <w:rFonts w:cstheme="minorHAnsi"/>
          <w:lang w:val="en-US"/>
        </w:rPr>
        <w:t>.</w:t>
      </w:r>
    </w:p>
    <w:p w14:paraId="0352FA2A" w14:textId="77777777" w:rsidR="00817770" w:rsidRPr="00E664DE" w:rsidRDefault="00817770" w:rsidP="00817770">
      <w:pPr>
        <w:jc w:val="both"/>
        <w:rPr>
          <w:rFonts w:cstheme="minorHAnsi"/>
          <w:highlight w:val="yellow"/>
          <w:lang w:val="en-US"/>
        </w:rPr>
      </w:pPr>
    </w:p>
    <w:p w14:paraId="2153C353" w14:textId="77777777" w:rsidR="00817770" w:rsidRPr="00AB6274" w:rsidRDefault="00817770" w:rsidP="00817770">
      <w:pPr>
        <w:jc w:val="both"/>
        <w:rPr>
          <w:rFonts w:cstheme="minorHAnsi"/>
          <w:lang w:val="en-US"/>
        </w:rPr>
      </w:pPr>
      <w:r w:rsidRPr="00E664DE">
        <w:rPr>
          <w:rFonts w:cstheme="minorHAnsi"/>
          <w:lang w:val="en-US"/>
        </w:rPr>
        <w:t xml:space="preserve">Future senior executives, employees and other key individuals in the Company and the group will </w:t>
      </w:r>
      <w:proofErr w:type="gramStart"/>
      <w:r w:rsidRPr="00E664DE">
        <w:rPr>
          <w:rFonts w:cstheme="minorHAnsi"/>
          <w:lang w:val="en-US"/>
        </w:rPr>
        <w:t xml:space="preserve">in Incentive Program </w:t>
      </w:r>
      <w:r w:rsidRPr="00E664DE">
        <w:rPr>
          <w:rFonts w:cstheme="minorHAnsi"/>
        </w:rPr>
        <w:t>202</w:t>
      </w:r>
      <w:r w:rsidR="00AB6274">
        <w:rPr>
          <w:rFonts w:cstheme="minorHAnsi"/>
        </w:rPr>
        <w:t>5</w:t>
      </w:r>
      <w:r w:rsidRPr="00E664DE">
        <w:rPr>
          <w:rFonts w:cstheme="minorHAnsi"/>
        </w:rPr>
        <w:t>/202</w:t>
      </w:r>
      <w:r w:rsidR="00AB6274">
        <w:rPr>
          <w:rFonts w:cstheme="minorHAnsi"/>
        </w:rPr>
        <w:t>8</w:t>
      </w:r>
      <w:r w:rsidRPr="00E664DE">
        <w:rPr>
          <w:rFonts w:cstheme="minorHAnsi"/>
        </w:rPr>
        <w:t xml:space="preserve"> </w:t>
      </w:r>
      <w:r w:rsidRPr="00E664DE">
        <w:rPr>
          <w:rFonts w:cstheme="minorHAnsi"/>
          <w:lang w:val="en-US"/>
        </w:rPr>
        <w:t>be offered</w:t>
      </w:r>
      <w:proofErr w:type="gramEnd"/>
      <w:r w:rsidRPr="00E664DE">
        <w:rPr>
          <w:rFonts w:cstheme="minorHAnsi"/>
          <w:lang w:val="en-US"/>
        </w:rPr>
        <w:t xml:space="preserve"> to acquire warrants in accordance with the framework of the categories stated above.</w:t>
      </w:r>
      <w:r w:rsidR="00AB6274">
        <w:rPr>
          <w:rFonts w:cstheme="minorHAnsi"/>
          <w:lang w:val="en-US"/>
        </w:rPr>
        <w:t xml:space="preserve"> </w:t>
      </w:r>
      <w:r w:rsidRPr="00E664DE">
        <w:rPr>
          <w:rFonts w:cstheme="minorHAnsi"/>
          <w:lang w:val="en-US"/>
        </w:rPr>
        <w:t xml:space="preserve">The Company's board of directors shall not be included in Incentive Program </w:t>
      </w:r>
      <w:r w:rsidRPr="00E664DE">
        <w:rPr>
          <w:rFonts w:cstheme="minorHAnsi"/>
        </w:rPr>
        <w:t>202</w:t>
      </w:r>
      <w:r w:rsidR="00AB6274">
        <w:rPr>
          <w:rFonts w:cstheme="minorHAnsi"/>
        </w:rPr>
        <w:t>5</w:t>
      </w:r>
      <w:r w:rsidRPr="00E664DE">
        <w:rPr>
          <w:rFonts w:cstheme="minorHAnsi"/>
        </w:rPr>
        <w:t>/202</w:t>
      </w:r>
      <w:r w:rsidR="00AB6274">
        <w:rPr>
          <w:rFonts w:cstheme="minorHAnsi"/>
        </w:rPr>
        <w:t>8</w:t>
      </w:r>
    </w:p>
    <w:p w14:paraId="2579051F" w14:textId="77777777" w:rsidR="00817770" w:rsidRPr="00E664DE" w:rsidRDefault="00817770" w:rsidP="00817770">
      <w:pPr>
        <w:rPr>
          <w:rFonts w:cstheme="minorHAnsi"/>
          <w:highlight w:val="yellow"/>
          <w:lang w:val="en-US"/>
        </w:rPr>
      </w:pPr>
    </w:p>
    <w:p w14:paraId="2EC6490F" w14:textId="77777777" w:rsidR="00817770" w:rsidRPr="00E664DE" w:rsidRDefault="00817770" w:rsidP="00817770">
      <w:pPr>
        <w:jc w:val="both"/>
        <w:rPr>
          <w:rFonts w:cstheme="minorHAnsi"/>
          <w:lang w:val="en-US"/>
        </w:rPr>
      </w:pPr>
      <w:r w:rsidRPr="00E664DE">
        <w:rPr>
          <w:rFonts w:cstheme="minorHAnsi"/>
          <w:lang w:val="en-US"/>
        </w:rPr>
        <w:t>Notification to acquire warrants shall be submitted during the period from and including the issuance of warrants up to and including the last date for subscription of shares by exercise of warrants.</w:t>
      </w:r>
    </w:p>
    <w:p w14:paraId="07ED9347" w14:textId="77777777" w:rsidR="00817770" w:rsidRPr="00E664DE" w:rsidRDefault="00817770" w:rsidP="00817770">
      <w:pPr>
        <w:rPr>
          <w:lang w:val="en-US"/>
        </w:rPr>
      </w:pPr>
    </w:p>
    <w:p w14:paraId="4037C191" w14:textId="77777777" w:rsidR="00817770" w:rsidRPr="00E664DE" w:rsidRDefault="00817770" w:rsidP="00817770">
      <w:pPr>
        <w:jc w:val="both"/>
        <w:rPr>
          <w:rFonts w:cstheme="minorHAnsi"/>
          <w:highlight w:val="yellow"/>
          <w:lang w:val="en-US"/>
        </w:rPr>
      </w:pPr>
      <w:r w:rsidRPr="00E664DE">
        <w:rPr>
          <w:rFonts w:cstheme="minorHAnsi"/>
          <w:lang w:val="en-US"/>
        </w:rPr>
        <w:t xml:space="preserve">Transfer of warrants shall be made at a price corresponding to the warrant's market value at the date of the transfer, calculated in accordance with the Black Scholes formula </w:t>
      </w:r>
      <w:r w:rsidRPr="00E664DE">
        <w:rPr>
          <w:lang w:val="en-US"/>
        </w:rPr>
        <w:t>or another accepted valuation formula. The valuation shall be performed by an independent valuation institute or audit firm</w:t>
      </w:r>
      <w:r w:rsidRPr="00E664DE">
        <w:rPr>
          <w:rFonts w:cstheme="minorHAnsi"/>
          <w:lang w:val="en-US"/>
        </w:rPr>
        <w:t xml:space="preserve">. </w:t>
      </w:r>
      <w:r w:rsidRPr="00E664DE">
        <w:rPr>
          <w:lang w:val="en-US"/>
        </w:rPr>
        <w:t xml:space="preserve">In connection with transfer of warrants to the participants, the Company </w:t>
      </w:r>
      <w:proofErr w:type="gramStart"/>
      <w:r w:rsidRPr="00E664DE">
        <w:rPr>
          <w:lang w:val="en-US"/>
        </w:rPr>
        <w:t>shall</w:t>
      </w:r>
      <w:proofErr w:type="gramEnd"/>
      <w:r w:rsidRPr="00E664DE">
        <w:rPr>
          <w:lang w:val="en-US"/>
        </w:rPr>
        <w:t xml:space="preserve"> through an </w:t>
      </w:r>
      <w:proofErr w:type="gramStart"/>
      <w:r w:rsidRPr="00E664DE">
        <w:rPr>
          <w:lang w:val="en-US"/>
        </w:rPr>
        <w:t>agreement</w:t>
      </w:r>
      <w:proofErr w:type="gramEnd"/>
      <w:r w:rsidRPr="00E664DE">
        <w:rPr>
          <w:lang w:val="en-US"/>
        </w:rPr>
        <w:t xml:space="preserve"> reserve the right to repurchase warrants if the participant's employment or assignment in the group terminates (so called good leaver or bad leaver) or if the participant </w:t>
      </w:r>
      <w:proofErr w:type="gramStart"/>
      <w:r w:rsidRPr="00E664DE">
        <w:rPr>
          <w:lang w:val="en-US"/>
        </w:rPr>
        <w:t>wish</w:t>
      </w:r>
      <w:proofErr w:type="gramEnd"/>
      <w:r w:rsidRPr="00E664DE">
        <w:rPr>
          <w:lang w:val="en-US"/>
        </w:rPr>
        <w:t xml:space="preserve"> to transfer the warrants</w:t>
      </w:r>
      <w:r w:rsidRPr="00E664DE">
        <w:rPr>
          <w:rFonts w:cstheme="minorHAnsi"/>
          <w:lang w:val="en-US"/>
        </w:rPr>
        <w:t>.</w:t>
      </w:r>
    </w:p>
    <w:p w14:paraId="3609A90D" w14:textId="77777777" w:rsidR="00817770" w:rsidRPr="00E664DE" w:rsidRDefault="00817770" w:rsidP="00817770">
      <w:pPr>
        <w:rPr>
          <w:lang w:val="en-US"/>
        </w:rPr>
      </w:pPr>
    </w:p>
    <w:p w14:paraId="2BA7153E" w14:textId="77777777" w:rsidR="00817770" w:rsidRPr="00E664DE" w:rsidRDefault="00817770" w:rsidP="00817770">
      <w:pPr>
        <w:jc w:val="both"/>
        <w:rPr>
          <w:rFonts w:cstheme="minorHAnsi"/>
          <w:b/>
          <w:lang w:val="en-US"/>
        </w:rPr>
      </w:pPr>
      <w:r w:rsidRPr="00E664DE">
        <w:rPr>
          <w:rFonts w:cstheme="minorHAnsi"/>
          <w:b/>
          <w:lang w:val="en-US"/>
        </w:rPr>
        <w:t>Preparations of the board of directors’ proposal for Incentive program 202</w:t>
      </w:r>
      <w:r w:rsidR="00AB6274">
        <w:rPr>
          <w:rFonts w:cstheme="minorHAnsi"/>
          <w:b/>
          <w:lang w:val="en-US"/>
        </w:rPr>
        <w:t>5</w:t>
      </w:r>
      <w:r w:rsidRPr="00E664DE">
        <w:rPr>
          <w:rFonts w:cstheme="minorHAnsi"/>
          <w:b/>
          <w:lang w:val="en-US"/>
        </w:rPr>
        <w:t>/202</w:t>
      </w:r>
      <w:r w:rsidR="00AB6274">
        <w:rPr>
          <w:rFonts w:cstheme="minorHAnsi"/>
          <w:b/>
          <w:lang w:val="en-US"/>
        </w:rPr>
        <w:t>8</w:t>
      </w:r>
      <w:r w:rsidRPr="00E664DE">
        <w:rPr>
          <w:rFonts w:cstheme="minorHAnsi"/>
          <w:b/>
          <w:lang w:val="en-US"/>
        </w:rPr>
        <w:t>, costs for the program, other outstanding share-based incentive programs, dilution etc.</w:t>
      </w:r>
    </w:p>
    <w:p w14:paraId="43E6A3DF" w14:textId="77777777" w:rsidR="00817770" w:rsidRPr="00E664DE" w:rsidRDefault="00817770" w:rsidP="00817770">
      <w:pPr>
        <w:jc w:val="both"/>
        <w:rPr>
          <w:rFonts w:cstheme="minorHAnsi"/>
          <w:lang w:val="en-US"/>
        </w:rPr>
      </w:pPr>
      <w:r w:rsidRPr="00E664DE">
        <w:rPr>
          <w:rFonts w:cstheme="minorHAnsi"/>
          <w:lang w:val="en-US"/>
        </w:rPr>
        <w:t>Proposal on Incentive Program 202</w:t>
      </w:r>
      <w:r w:rsidR="00AB6274">
        <w:rPr>
          <w:rFonts w:cstheme="minorHAnsi"/>
          <w:lang w:val="en-US"/>
        </w:rPr>
        <w:t>5</w:t>
      </w:r>
      <w:r w:rsidRPr="00E664DE">
        <w:rPr>
          <w:rFonts w:cstheme="minorHAnsi"/>
          <w:lang w:val="en-US"/>
        </w:rPr>
        <w:t>/202</w:t>
      </w:r>
      <w:r w:rsidR="00AB6274">
        <w:rPr>
          <w:rFonts w:cstheme="minorHAnsi"/>
          <w:lang w:val="en-US"/>
        </w:rPr>
        <w:t>8</w:t>
      </w:r>
      <w:r w:rsidRPr="00E664DE">
        <w:rPr>
          <w:rFonts w:cstheme="minorHAnsi"/>
          <w:lang w:val="en-US"/>
        </w:rPr>
        <w:t xml:space="preserve"> has been prepared by external advisors and the board of directors in consultation parts of the company group management.</w:t>
      </w:r>
    </w:p>
    <w:p w14:paraId="02296C45" w14:textId="77777777" w:rsidR="00817770" w:rsidRPr="00E664DE" w:rsidRDefault="00817770" w:rsidP="00817770">
      <w:pPr>
        <w:rPr>
          <w:lang w:val="en-US"/>
        </w:rPr>
      </w:pPr>
    </w:p>
    <w:p w14:paraId="0A2B46C5" w14:textId="77777777" w:rsidR="00817770" w:rsidRPr="00E664DE" w:rsidRDefault="00817770" w:rsidP="00817770">
      <w:pPr>
        <w:rPr>
          <w:b/>
        </w:rPr>
      </w:pPr>
      <w:bookmarkStart w:id="1" w:name="_Hlk195538600"/>
      <w:r w:rsidRPr="00E664DE">
        <w:rPr>
          <w:b/>
        </w:rPr>
        <w:t>Valuation</w:t>
      </w:r>
    </w:p>
    <w:p w14:paraId="3946B3C8" w14:textId="77777777" w:rsidR="00817770" w:rsidRPr="00E664DE" w:rsidRDefault="00817770" w:rsidP="00817770">
      <w:pPr>
        <w:jc w:val="both"/>
        <w:rPr>
          <w:rFonts w:cstheme="minorHAnsi"/>
          <w:highlight w:val="yellow"/>
          <w:lang w:val="en-US"/>
        </w:rPr>
      </w:pPr>
      <w:r w:rsidRPr="00E664DE">
        <w:rPr>
          <w:rFonts w:cstheme="minorHAnsi"/>
          <w:lang w:val="en-US"/>
        </w:rPr>
        <w:t>Transfer of warrants in Incentive Progra</w:t>
      </w:r>
      <w:r w:rsidRPr="00C3533B">
        <w:rPr>
          <w:rFonts w:cstheme="minorHAnsi"/>
          <w:lang w:val="en-US"/>
        </w:rPr>
        <w:t xml:space="preserve">m </w:t>
      </w:r>
      <w:r w:rsidRPr="00C3533B">
        <w:rPr>
          <w:rFonts w:cstheme="minorHAnsi"/>
        </w:rPr>
        <w:t>202</w:t>
      </w:r>
      <w:r w:rsidR="00AB6274" w:rsidRPr="00C3533B">
        <w:rPr>
          <w:rFonts w:cstheme="minorHAnsi"/>
        </w:rPr>
        <w:t>5</w:t>
      </w:r>
      <w:r w:rsidRPr="00C3533B">
        <w:rPr>
          <w:rFonts w:cstheme="minorHAnsi"/>
        </w:rPr>
        <w:t>/202</w:t>
      </w:r>
      <w:r w:rsidR="00AB6274" w:rsidRPr="00C3533B">
        <w:rPr>
          <w:rFonts w:cstheme="minorHAnsi"/>
        </w:rPr>
        <w:t>8</w:t>
      </w:r>
      <w:r w:rsidRPr="00C3533B">
        <w:rPr>
          <w:rFonts w:cstheme="minorHAnsi"/>
        </w:rPr>
        <w:t xml:space="preserve"> </w:t>
      </w:r>
      <w:r w:rsidRPr="00C3533B">
        <w:rPr>
          <w:rFonts w:cstheme="minorHAnsi"/>
          <w:lang w:val="en-US"/>
        </w:rPr>
        <w:t xml:space="preserve">shall be made at a price corresponding to the warrant's market value. The market value of the warrants in Incentive Program </w:t>
      </w:r>
      <w:r w:rsidRPr="00C3533B">
        <w:rPr>
          <w:rFonts w:cstheme="minorHAnsi"/>
        </w:rPr>
        <w:t>202</w:t>
      </w:r>
      <w:r w:rsidR="00AB6274" w:rsidRPr="00C3533B">
        <w:rPr>
          <w:rFonts w:cstheme="minorHAnsi"/>
        </w:rPr>
        <w:t>5</w:t>
      </w:r>
      <w:r w:rsidRPr="00C3533B">
        <w:rPr>
          <w:rFonts w:cstheme="minorHAnsi"/>
        </w:rPr>
        <w:t>/202</w:t>
      </w:r>
      <w:r w:rsidR="00AB6274" w:rsidRPr="00C3533B">
        <w:rPr>
          <w:rFonts w:cstheme="minorHAnsi"/>
        </w:rPr>
        <w:t>8</w:t>
      </w:r>
      <w:r w:rsidRPr="00C3533B">
        <w:rPr>
          <w:rFonts w:cstheme="minorHAnsi"/>
        </w:rPr>
        <w:t xml:space="preserve"> </w:t>
      </w:r>
      <w:r w:rsidRPr="00C3533B">
        <w:rPr>
          <w:rFonts w:cstheme="minorHAnsi"/>
          <w:lang w:val="en-US"/>
        </w:rPr>
        <w:t xml:space="preserve">are, according to a preliminary valuation based on a market value of the underlying share of SEK </w:t>
      </w:r>
      <w:r w:rsidR="00C3533B" w:rsidRPr="00C3533B">
        <w:rPr>
          <w:rFonts w:cstheme="minorHAnsi"/>
          <w:lang w:val="en-US"/>
        </w:rPr>
        <w:t>15,15</w:t>
      </w:r>
      <w:r w:rsidRPr="00C3533B">
        <w:rPr>
          <w:rFonts w:cstheme="minorHAnsi"/>
          <w:lang w:val="en-US"/>
        </w:rPr>
        <w:t xml:space="preserve"> SEK </w:t>
      </w:r>
      <w:r w:rsidR="00C3533B" w:rsidRPr="00C3533B">
        <w:rPr>
          <w:rFonts w:cstheme="minorHAnsi"/>
          <w:lang w:val="en-US"/>
        </w:rPr>
        <w:t>4</w:t>
      </w:r>
      <w:r w:rsidRPr="00C3533B">
        <w:rPr>
          <w:rFonts w:cstheme="minorHAnsi"/>
          <w:lang w:val="en-US"/>
        </w:rPr>
        <w:t>,</w:t>
      </w:r>
      <w:r w:rsidR="00C3533B" w:rsidRPr="00C3533B">
        <w:rPr>
          <w:rFonts w:cstheme="minorHAnsi"/>
          <w:lang w:val="en-US"/>
        </w:rPr>
        <w:t>07</w:t>
      </w:r>
      <w:r w:rsidRPr="00C3533B">
        <w:rPr>
          <w:rFonts w:cstheme="minorHAnsi"/>
          <w:lang w:val="en-US"/>
        </w:rPr>
        <w:t xml:space="preserve"> per </w:t>
      </w:r>
      <w:proofErr w:type="gramStart"/>
      <w:r w:rsidRPr="00C3533B">
        <w:rPr>
          <w:rFonts w:cstheme="minorHAnsi"/>
          <w:lang w:val="en-US"/>
        </w:rPr>
        <w:t>warrant</w:t>
      </w:r>
      <w:proofErr w:type="gramEnd"/>
      <w:r w:rsidRPr="00C3533B">
        <w:rPr>
          <w:rFonts w:cstheme="minorHAnsi"/>
          <w:lang w:val="en-US"/>
        </w:rPr>
        <w:t xml:space="preserve">, assuming an exercise price of SEK </w:t>
      </w:r>
      <w:r w:rsidR="00C3533B" w:rsidRPr="00C3533B">
        <w:rPr>
          <w:rFonts w:cstheme="minorHAnsi"/>
          <w:lang w:val="en-US"/>
        </w:rPr>
        <w:t>21,08</w:t>
      </w:r>
      <w:r w:rsidRPr="00C3533B">
        <w:rPr>
          <w:rFonts w:cstheme="minorHAnsi"/>
          <w:lang w:val="en-US"/>
        </w:rPr>
        <w:t xml:space="preserve"> per share. The Black Scholes formula has been used for the </w:t>
      </w:r>
      <w:proofErr w:type="gramStart"/>
      <w:r w:rsidRPr="00C3533B">
        <w:rPr>
          <w:rFonts w:cstheme="minorHAnsi"/>
          <w:lang w:val="en-US"/>
        </w:rPr>
        <w:t>valuation</w:t>
      </w:r>
      <w:proofErr w:type="gramEnd"/>
      <w:r w:rsidRPr="00C3533B">
        <w:rPr>
          <w:rFonts w:cstheme="minorHAnsi"/>
          <w:lang w:val="en-US"/>
        </w:rPr>
        <w:t xml:space="preserve"> assuming a risk-free interest rate of </w:t>
      </w:r>
      <w:r w:rsidR="00C3533B" w:rsidRPr="00C3533B">
        <w:rPr>
          <w:rFonts w:cstheme="minorHAnsi"/>
          <w:lang w:val="en-US"/>
        </w:rPr>
        <w:t>1,84</w:t>
      </w:r>
      <w:r w:rsidRPr="00C3533B">
        <w:rPr>
          <w:rFonts w:cstheme="minorHAnsi"/>
          <w:lang w:val="en-US"/>
        </w:rPr>
        <w:t xml:space="preserve"> percent and a volatility of </w:t>
      </w:r>
      <w:r w:rsidR="00C3533B" w:rsidRPr="00C3533B">
        <w:rPr>
          <w:rFonts w:cstheme="minorHAnsi"/>
          <w:lang w:val="en-US"/>
        </w:rPr>
        <w:t>53</w:t>
      </w:r>
      <w:r w:rsidRPr="00C3533B">
        <w:rPr>
          <w:rFonts w:cstheme="minorHAnsi"/>
          <w:lang w:val="en-US"/>
        </w:rPr>
        <w:t xml:space="preserve"> </w:t>
      </w:r>
      <w:proofErr w:type="gramStart"/>
      <w:r w:rsidRPr="00C3533B">
        <w:rPr>
          <w:rFonts w:cstheme="minorHAnsi"/>
          <w:lang w:val="en-US"/>
        </w:rPr>
        <w:t>percent</w:t>
      </w:r>
      <w:proofErr w:type="gramEnd"/>
      <w:r w:rsidRPr="00C3533B">
        <w:rPr>
          <w:rFonts w:cstheme="minorHAnsi"/>
          <w:lang w:val="en-US"/>
        </w:rPr>
        <w:t xml:space="preserve"> and </w:t>
      </w:r>
      <w:proofErr w:type="gramStart"/>
      <w:r w:rsidRPr="00C3533B">
        <w:rPr>
          <w:rFonts w:cstheme="minorHAnsi"/>
          <w:lang w:val="en-US"/>
        </w:rPr>
        <w:t>taking into account</w:t>
      </w:r>
      <w:proofErr w:type="gramEnd"/>
      <w:r w:rsidRPr="00C3533B">
        <w:rPr>
          <w:rFonts w:cstheme="minorHAnsi"/>
          <w:lang w:val="en-US"/>
        </w:rPr>
        <w:t xml:space="preserve"> that no dividends or other value transfers to shareholders will take place during the validity of the program.</w:t>
      </w:r>
    </w:p>
    <w:bookmarkEnd w:id="1"/>
    <w:p w14:paraId="686BE3AD" w14:textId="77777777" w:rsidR="00817770" w:rsidRPr="00E664DE" w:rsidRDefault="00817770" w:rsidP="00817770">
      <w:pPr>
        <w:rPr>
          <w:lang w:val="en-US"/>
        </w:rPr>
      </w:pPr>
    </w:p>
    <w:p w14:paraId="0E0A4136" w14:textId="77777777" w:rsidR="00817770" w:rsidRPr="00E664DE" w:rsidRDefault="00817770" w:rsidP="00817770">
      <w:pPr>
        <w:rPr>
          <w:b/>
        </w:rPr>
      </w:pPr>
      <w:r w:rsidRPr="00E664DE">
        <w:rPr>
          <w:b/>
        </w:rPr>
        <w:t>Costs</w:t>
      </w:r>
    </w:p>
    <w:p w14:paraId="3A747488" w14:textId="77777777" w:rsidR="00817770" w:rsidRPr="00E664DE" w:rsidRDefault="00817770" w:rsidP="00AB6274">
      <w:pPr>
        <w:jc w:val="both"/>
        <w:rPr>
          <w:rFonts w:cstheme="minorHAnsi"/>
        </w:rPr>
      </w:pPr>
      <w:r w:rsidRPr="00E664DE">
        <w:rPr>
          <w:rFonts w:cstheme="minorHAnsi"/>
          <w:lang w:val="en-US"/>
        </w:rPr>
        <w:t xml:space="preserve">As the warrants are subscribed for and transferred at fair market value, it is the Company´s assessment that there will be no social fees for the Company </w:t>
      </w:r>
      <w:proofErr w:type="gramStart"/>
      <w:r w:rsidRPr="00E664DE">
        <w:rPr>
          <w:rFonts w:cstheme="minorHAnsi"/>
          <w:lang w:val="en-US"/>
        </w:rPr>
        <w:t>as a result of</w:t>
      </w:r>
      <w:proofErr w:type="gramEnd"/>
      <w:r w:rsidRPr="00E664DE">
        <w:rPr>
          <w:rFonts w:cstheme="minorHAnsi"/>
          <w:lang w:val="en-US"/>
        </w:rPr>
        <w:t xml:space="preserve"> the subscriptions and transfers, except for what is </w:t>
      </w:r>
      <w:proofErr w:type="gramStart"/>
      <w:r w:rsidRPr="00E664DE">
        <w:rPr>
          <w:rFonts w:cstheme="minorHAnsi"/>
          <w:lang w:val="en-US"/>
        </w:rPr>
        <w:t>stated</w:t>
      </w:r>
      <w:proofErr w:type="gramEnd"/>
      <w:r w:rsidRPr="00E664DE">
        <w:rPr>
          <w:rFonts w:cstheme="minorHAnsi"/>
          <w:lang w:val="en-US"/>
        </w:rPr>
        <w:t xml:space="preserve"> section two below regarding foreign participants. The costs will therefore consist only of minimal costs for the implementation and administration of </w:t>
      </w:r>
      <w:proofErr w:type="gramStart"/>
      <w:r w:rsidRPr="00E664DE">
        <w:rPr>
          <w:rFonts w:cstheme="minorHAnsi"/>
          <w:lang w:val="en-US"/>
        </w:rPr>
        <w:t>Incentive</w:t>
      </w:r>
      <w:proofErr w:type="gramEnd"/>
      <w:r w:rsidRPr="00E664DE">
        <w:rPr>
          <w:rFonts w:cstheme="minorHAnsi"/>
          <w:lang w:val="en-US"/>
        </w:rPr>
        <w:t xml:space="preserve"> program </w:t>
      </w:r>
      <w:r w:rsidRPr="00E664DE">
        <w:rPr>
          <w:rFonts w:cstheme="minorHAnsi"/>
        </w:rPr>
        <w:t>202</w:t>
      </w:r>
      <w:r w:rsidR="00AB6274">
        <w:rPr>
          <w:rFonts w:cstheme="minorHAnsi"/>
        </w:rPr>
        <w:t>5</w:t>
      </w:r>
      <w:r w:rsidRPr="00E664DE">
        <w:rPr>
          <w:rFonts w:cstheme="minorHAnsi"/>
        </w:rPr>
        <w:t>/202</w:t>
      </w:r>
      <w:r w:rsidR="00AB6274">
        <w:rPr>
          <w:rFonts w:cstheme="minorHAnsi"/>
        </w:rPr>
        <w:t>8</w:t>
      </w:r>
      <w:r w:rsidRPr="00E664DE">
        <w:rPr>
          <w:rFonts w:cstheme="minorHAnsi"/>
        </w:rPr>
        <w:t>.</w:t>
      </w:r>
    </w:p>
    <w:p w14:paraId="20A75CED" w14:textId="77777777" w:rsidR="00817770" w:rsidRPr="00E664DE" w:rsidRDefault="00817770" w:rsidP="00817770">
      <w:pPr>
        <w:rPr>
          <w:lang w:val="en-US"/>
        </w:rPr>
      </w:pPr>
    </w:p>
    <w:p w14:paraId="4FA4A991" w14:textId="77777777" w:rsidR="00817770" w:rsidRPr="00E664DE" w:rsidRDefault="00817770" w:rsidP="00817770">
      <w:pPr>
        <w:jc w:val="both"/>
        <w:rPr>
          <w:rFonts w:cstheme="minorHAnsi"/>
          <w:lang w:val="en-US"/>
        </w:rPr>
      </w:pPr>
      <w:r w:rsidRPr="00E664DE">
        <w:rPr>
          <w:rFonts w:cstheme="minorHAnsi"/>
          <w:lang w:val="en-US"/>
        </w:rPr>
        <w:t>For foreign participants, social taxes (employer contributions) are likely t</w:t>
      </w:r>
      <w:r w:rsidRPr="002D1DC7">
        <w:rPr>
          <w:rFonts w:cstheme="minorHAnsi"/>
          <w:lang w:val="en-US"/>
        </w:rPr>
        <w:t xml:space="preserve">o apply in </w:t>
      </w:r>
      <w:proofErr w:type="gramStart"/>
      <w:r w:rsidRPr="002D1DC7">
        <w:rPr>
          <w:rFonts w:cstheme="minorHAnsi"/>
          <w:lang w:val="en-US"/>
        </w:rPr>
        <w:t>UK</w:t>
      </w:r>
      <w:proofErr w:type="gramEnd"/>
      <w:r w:rsidRPr="002D1DC7">
        <w:rPr>
          <w:rFonts w:cstheme="minorHAnsi"/>
          <w:lang w:val="en-US"/>
        </w:rPr>
        <w:t xml:space="preserve"> and US on the increased value between grant and exercise of the </w:t>
      </w:r>
      <w:proofErr w:type="gramStart"/>
      <w:r w:rsidRPr="002D1DC7">
        <w:rPr>
          <w:rFonts w:cstheme="minorHAnsi"/>
          <w:lang w:val="en-US"/>
        </w:rPr>
        <w:t>warrants</w:t>
      </w:r>
      <w:proofErr w:type="gramEnd"/>
      <w:r w:rsidRPr="002D1DC7">
        <w:rPr>
          <w:rFonts w:cstheme="minorHAnsi"/>
          <w:lang w:val="en-US"/>
        </w:rPr>
        <w:t xml:space="preserve">. The extent of social taxes </w:t>
      </w:r>
      <w:proofErr w:type="gramStart"/>
      <w:r w:rsidRPr="002D1DC7">
        <w:rPr>
          <w:rFonts w:cstheme="minorHAnsi"/>
          <w:lang w:val="en-US"/>
        </w:rPr>
        <w:t>is depending</w:t>
      </w:r>
      <w:proofErr w:type="gramEnd"/>
      <w:r w:rsidRPr="002D1DC7">
        <w:rPr>
          <w:rFonts w:cstheme="minorHAnsi"/>
          <w:lang w:val="en-US"/>
        </w:rPr>
        <w:t xml:space="preserve"> on </w:t>
      </w:r>
      <w:proofErr w:type="gramStart"/>
      <w:r w:rsidRPr="002D1DC7">
        <w:rPr>
          <w:rFonts w:cstheme="minorHAnsi"/>
          <w:lang w:val="en-US"/>
        </w:rPr>
        <w:t>if and when</w:t>
      </w:r>
      <w:proofErr w:type="gramEnd"/>
      <w:r w:rsidRPr="002D1DC7">
        <w:rPr>
          <w:rFonts w:cstheme="minorHAnsi"/>
          <w:lang w:val="en-US"/>
        </w:rPr>
        <w:t xml:space="preserve"> the warrants are exercised by the foreign participants. Social taxes in UK (Employer national insurance contributions) are currently due at a general rate of 1</w:t>
      </w:r>
      <w:r w:rsidR="002D1DC7" w:rsidRPr="002D1DC7">
        <w:rPr>
          <w:rFonts w:cstheme="minorHAnsi"/>
          <w:lang w:val="en-US"/>
        </w:rPr>
        <w:t>5</w:t>
      </w:r>
      <w:r w:rsidRPr="002D1DC7">
        <w:rPr>
          <w:rFonts w:cstheme="minorHAnsi"/>
          <w:lang w:val="en-US"/>
        </w:rPr>
        <w:t xml:space="preserve"> percent applied on the value increase between grant and exercise. Social taxes in </w:t>
      </w:r>
      <w:proofErr w:type="gramStart"/>
      <w:r w:rsidRPr="002D1DC7">
        <w:rPr>
          <w:rFonts w:cstheme="minorHAnsi"/>
          <w:lang w:val="en-US"/>
        </w:rPr>
        <w:t>US</w:t>
      </w:r>
      <w:proofErr w:type="gramEnd"/>
      <w:r w:rsidRPr="002D1DC7">
        <w:rPr>
          <w:rFonts w:cstheme="minorHAnsi"/>
          <w:lang w:val="en-US"/>
        </w:rPr>
        <w:t xml:space="preserve"> are currently due at a rate between 6-10 percent depending on income level and state. Currently it is expected that </w:t>
      </w:r>
      <w:proofErr w:type="gramStart"/>
      <w:r w:rsidRPr="002D1DC7">
        <w:rPr>
          <w:rFonts w:cstheme="minorHAnsi"/>
          <w:lang w:val="en-US"/>
        </w:rPr>
        <w:t>Incentive</w:t>
      </w:r>
      <w:proofErr w:type="gramEnd"/>
      <w:r w:rsidRPr="002D1DC7">
        <w:rPr>
          <w:rFonts w:cstheme="minorHAnsi"/>
          <w:lang w:val="en-US"/>
        </w:rPr>
        <w:t xml:space="preserve"> Program 202</w:t>
      </w:r>
      <w:r w:rsidR="00AB6274" w:rsidRPr="002D1DC7">
        <w:rPr>
          <w:rFonts w:cstheme="minorHAnsi"/>
          <w:lang w:val="en-US"/>
        </w:rPr>
        <w:t>5</w:t>
      </w:r>
      <w:r w:rsidRPr="002D1DC7">
        <w:rPr>
          <w:rFonts w:cstheme="minorHAnsi"/>
          <w:lang w:val="en-US"/>
        </w:rPr>
        <w:t>/202</w:t>
      </w:r>
      <w:r w:rsidR="00AB6274" w:rsidRPr="002D1DC7">
        <w:rPr>
          <w:rFonts w:cstheme="minorHAnsi"/>
          <w:lang w:val="en-US"/>
        </w:rPr>
        <w:t>8</w:t>
      </w:r>
      <w:r w:rsidRPr="002D1DC7">
        <w:rPr>
          <w:rFonts w:cstheme="minorHAnsi"/>
          <w:lang w:val="en-US"/>
        </w:rPr>
        <w:t xml:space="preserve"> will include 15 foreign participants. </w:t>
      </w:r>
    </w:p>
    <w:p w14:paraId="7B0A05BA" w14:textId="77777777" w:rsidR="00817770" w:rsidRPr="00E664DE" w:rsidRDefault="00817770" w:rsidP="00817770">
      <w:pPr>
        <w:rPr>
          <w:lang w:val="en-US"/>
        </w:rPr>
      </w:pPr>
    </w:p>
    <w:p w14:paraId="4A8A998B" w14:textId="77777777" w:rsidR="00817770" w:rsidRPr="00E664DE" w:rsidRDefault="00817770" w:rsidP="00817770">
      <w:pPr>
        <w:rPr>
          <w:b/>
        </w:rPr>
      </w:pPr>
      <w:r w:rsidRPr="00E664DE">
        <w:rPr>
          <w:b/>
        </w:rPr>
        <w:t>Dilution</w:t>
      </w:r>
    </w:p>
    <w:p w14:paraId="423155C5" w14:textId="4CC7207E" w:rsidR="00817770" w:rsidRPr="00E664DE" w:rsidRDefault="00817770" w:rsidP="00817770">
      <w:pPr>
        <w:jc w:val="both"/>
        <w:rPr>
          <w:lang w:val="en-US"/>
        </w:rPr>
      </w:pPr>
      <w:r w:rsidRPr="00E664DE">
        <w:rPr>
          <w:lang w:val="en-US"/>
        </w:rPr>
        <w:t>The total number of registered shares and votes at the time of this proposal amoun</w:t>
      </w:r>
      <w:r w:rsidRPr="0034742B">
        <w:rPr>
          <w:lang w:val="en-US"/>
        </w:rPr>
        <w:t>t to</w:t>
      </w:r>
      <w:r w:rsidRPr="0068305D">
        <w:rPr>
          <w:color w:val="FF0000"/>
          <w:lang w:val="en-US"/>
        </w:rPr>
        <w:t xml:space="preserve"> </w:t>
      </w:r>
      <w:r w:rsidR="0068305D">
        <w:t>38,109,829</w:t>
      </w:r>
      <w:r w:rsidRPr="0034742B">
        <w:rPr>
          <w:lang w:val="en-US"/>
        </w:rPr>
        <w:t xml:space="preserve">. The maximum dilution of Incentive program </w:t>
      </w:r>
      <w:r w:rsidR="00AB6274" w:rsidRPr="0034742B">
        <w:t>2025/2028</w:t>
      </w:r>
      <w:r w:rsidRPr="0034742B">
        <w:t xml:space="preserve"> </w:t>
      </w:r>
      <w:r w:rsidRPr="0034742B">
        <w:rPr>
          <w:lang w:val="en-US"/>
        </w:rPr>
        <w:t xml:space="preserve">is estimated to be a maximum of approximately </w:t>
      </w:r>
      <w:r w:rsidRPr="0034742B">
        <w:rPr>
          <w:rFonts w:cstheme="minorHAnsi"/>
          <w:lang w:val="en-US"/>
        </w:rPr>
        <w:t>0</w:t>
      </w:r>
      <w:r w:rsidRPr="0034742B">
        <w:rPr>
          <w:rFonts w:cstheme="minorHAnsi"/>
          <w:lang w:val="en-US"/>
        </w:rPr>
        <w:t>.</w:t>
      </w:r>
      <w:r w:rsidR="0034742B" w:rsidRPr="0034742B">
        <w:rPr>
          <w:rFonts w:cstheme="minorHAnsi"/>
          <w:lang w:val="en-US"/>
        </w:rPr>
        <w:t>8</w:t>
      </w:r>
      <w:r w:rsidR="00E9314A">
        <w:rPr>
          <w:rFonts w:cstheme="minorHAnsi"/>
          <w:lang w:val="en-US"/>
        </w:rPr>
        <w:t>1</w:t>
      </w:r>
      <w:r w:rsidRPr="0034742B">
        <w:rPr>
          <w:rFonts w:cstheme="minorHAnsi"/>
          <w:lang w:val="en-US"/>
        </w:rPr>
        <w:t xml:space="preserve"> </w:t>
      </w:r>
      <w:r w:rsidRPr="0034742B">
        <w:rPr>
          <w:lang w:val="en-US"/>
        </w:rPr>
        <w:t xml:space="preserve">percent of the total number of shares and votes in the Company (calculated on the number of existing shares the Company), assuming full subscription and exercise of all warrants offered. The maximum dilution of Incentive program </w:t>
      </w:r>
      <w:r w:rsidR="00AB6274" w:rsidRPr="0034742B">
        <w:t>2025/2028</w:t>
      </w:r>
      <w:r w:rsidRPr="0034742B">
        <w:t xml:space="preserve"> </w:t>
      </w:r>
      <w:r w:rsidRPr="0034742B">
        <w:rPr>
          <w:lang w:val="en-US"/>
        </w:rPr>
        <w:t>pl</w:t>
      </w:r>
      <w:r w:rsidRPr="0034742B">
        <w:rPr>
          <w:iCs/>
          <w:lang w:val="en-US"/>
        </w:rPr>
        <w:t>u</w:t>
      </w:r>
      <w:r w:rsidRPr="0034742B">
        <w:rPr>
          <w:lang w:val="en-US"/>
        </w:rPr>
        <w:t>s the other outstanding incentive programs in the Company (</w:t>
      </w:r>
      <w:r w:rsidR="002D1DC7" w:rsidRPr="0034742B">
        <w:rPr>
          <w:iCs/>
          <w:lang w:val="en-US"/>
        </w:rPr>
        <w:t>four</w:t>
      </w:r>
      <w:r w:rsidRPr="0034742B">
        <w:rPr>
          <w:lang w:val="en-US"/>
        </w:rPr>
        <w:t xml:space="preserve"> programs) is estimated to be a maximum of approximately</w:t>
      </w:r>
      <w:r w:rsidRPr="0034742B">
        <w:rPr>
          <w:lang w:val="en-US"/>
        </w:rPr>
        <w:t xml:space="preserve"> </w:t>
      </w:r>
      <w:r w:rsidR="0034742B" w:rsidRPr="0034742B">
        <w:rPr>
          <w:rFonts w:cstheme="minorHAnsi"/>
          <w:iCs/>
          <w:lang w:val="en-US"/>
        </w:rPr>
        <w:t>5</w:t>
      </w:r>
      <w:r w:rsidRPr="0034742B">
        <w:rPr>
          <w:rFonts w:cstheme="minorHAnsi"/>
          <w:iCs/>
          <w:lang w:val="en-US"/>
        </w:rPr>
        <w:t>.</w:t>
      </w:r>
      <w:r w:rsidR="000144E4">
        <w:rPr>
          <w:rFonts w:cstheme="minorHAnsi"/>
          <w:iCs/>
          <w:lang w:val="en-US"/>
        </w:rPr>
        <w:t>3</w:t>
      </w:r>
      <w:r w:rsidRPr="0034742B">
        <w:rPr>
          <w:rFonts w:cstheme="minorHAnsi"/>
          <w:lang w:val="en-US"/>
        </w:rPr>
        <w:t xml:space="preserve"> </w:t>
      </w:r>
      <w:r w:rsidRPr="0034742B">
        <w:rPr>
          <w:lang w:val="en-US"/>
        </w:rPr>
        <w:t>percent, assuming full subscription and exercise of all warrants offered and outstanding.</w:t>
      </w:r>
    </w:p>
    <w:p w14:paraId="79B42C19" w14:textId="77777777" w:rsidR="00817770" w:rsidRPr="00E664DE" w:rsidRDefault="00817770" w:rsidP="00817770">
      <w:pPr>
        <w:rPr>
          <w:lang w:val="en-US"/>
        </w:rPr>
      </w:pPr>
    </w:p>
    <w:p w14:paraId="100CAA81" w14:textId="77777777" w:rsidR="00817770" w:rsidRPr="00E664DE" w:rsidRDefault="00817770" w:rsidP="00817770">
      <w:pPr>
        <w:rPr>
          <w:rFonts w:cstheme="minorHAnsi"/>
          <w:b/>
        </w:rPr>
      </w:pPr>
      <w:r w:rsidRPr="00E664DE">
        <w:rPr>
          <w:rFonts w:cstheme="minorHAnsi"/>
          <w:b/>
        </w:rPr>
        <w:t>Other outstanding share-based incentive programs</w:t>
      </w:r>
    </w:p>
    <w:p w14:paraId="50F5CE3C" w14:textId="77777777" w:rsidR="00817770" w:rsidRPr="00E664DE" w:rsidRDefault="00817770" w:rsidP="00817770">
      <w:pPr>
        <w:rPr>
          <w:rFonts w:cstheme="minorHAnsi"/>
          <w:lang w:val="en-US"/>
        </w:rPr>
      </w:pPr>
      <w:r w:rsidRPr="00E664DE">
        <w:rPr>
          <w:rFonts w:cstheme="minorHAnsi"/>
          <w:lang w:val="en-US"/>
        </w:rPr>
        <w:t>All existing share-related incentive programs are described in the annual report for 202</w:t>
      </w:r>
      <w:r>
        <w:rPr>
          <w:rFonts w:cstheme="minorHAnsi"/>
          <w:lang w:val="en-US"/>
        </w:rPr>
        <w:t>4</w:t>
      </w:r>
      <w:r w:rsidRPr="00E664DE">
        <w:rPr>
          <w:rFonts w:cstheme="minorHAnsi"/>
          <w:lang w:val="en-US"/>
        </w:rPr>
        <w:t>.</w:t>
      </w:r>
    </w:p>
    <w:p w14:paraId="00F5B68E" w14:textId="77777777" w:rsidR="00817770" w:rsidRPr="006D7DD5" w:rsidRDefault="00817770" w:rsidP="00D66DD4">
      <w:pPr>
        <w:rPr>
          <w:lang w:val="en-US"/>
        </w:rPr>
      </w:pPr>
    </w:p>
    <w:p w14:paraId="6D69287F" w14:textId="77777777" w:rsidR="00F2278B" w:rsidRPr="00E664DE" w:rsidRDefault="00F2278B" w:rsidP="00C71BCD">
      <w:pPr>
        <w:pStyle w:val="ListParagraph"/>
        <w:numPr>
          <w:ilvl w:val="0"/>
          <w:numId w:val="42"/>
        </w:numPr>
      </w:pPr>
      <w:r w:rsidRPr="00E664DE">
        <w:rPr>
          <w:b/>
          <w:bCs/>
        </w:rPr>
        <w:t>Majority requirements</w:t>
      </w:r>
    </w:p>
    <w:p w14:paraId="764371D7" w14:textId="77777777" w:rsidR="00F2278B" w:rsidRDefault="00F2278B" w:rsidP="00F2278B">
      <w:pPr>
        <w:autoSpaceDE w:val="0"/>
        <w:autoSpaceDN w:val="0"/>
        <w:adjustRightInd w:val="0"/>
        <w:jc w:val="both"/>
        <w:rPr>
          <w:rFonts w:cstheme="minorHAnsi"/>
          <w:iCs/>
        </w:rPr>
      </w:pPr>
      <w:r w:rsidRPr="00E664DE">
        <w:rPr>
          <w:rFonts w:cstheme="minorHAnsi"/>
          <w:iCs/>
        </w:rPr>
        <w:t xml:space="preserve">A resolution in accordance with item </w:t>
      </w:r>
      <w:r w:rsidR="00622A3F">
        <w:rPr>
          <w:rFonts w:cstheme="minorHAnsi"/>
          <w:iCs/>
        </w:rPr>
        <w:t>1</w:t>
      </w:r>
      <w:r w:rsidR="0034742B">
        <w:rPr>
          <w:rFonts w:cstheme="minorHAnsi"/>
          <w:iCs/>
        </w:rPr>
        <w:t>1</w:t>
      </w:r>
      <w:r w:rsidRPr="00E664DE">
        <w:rPr>
          <w:rFonts w:cstheme="minorHAnsi"/>
          <w:iCs/>
        </w:rPr>
        <w:t xml:space="preserve"> requires support by shareholders holding not less than two-thirds of both the shares voted and of the shares represented at the general meeting.</w:t>
      </w:r>
    </w:p>
    <w:p w14:paraId="14734B74" w14:textId="77777777" w:rsidR="00AB6274" w:rsidRDefault="00AB6274" w:rsidP="00AB6274">
      <w:pPr>
        <w:autoSpaceDE w:val="0"/>
        <w:autoSpaceDN w:val="0"/>
        <w:adjustRightInd w:val="0"/>
        <w:jc w:val="both"/>
        <w:rPr>
          <w:rFonts w:cstheme="minorHAnsi"/>
          <w:iCs/>
          <w:lang w:val="en-US"/>
        </w:rPr>
      </w:pPr>
    </w:p>
    <w:p w14:paraId="26226ED8" w14:textId="77777777" w:rsidR="00AB6274" w:rsidRPr="00AB6274" w:rsidRDefault="00AB6274" w:rsidP="00AB6274">
      <w:pPr>
        <w:autoSpaceDE w:val="0"/>
        <w:autoSpaceDN w:val="0"/>
        <w:adjustRightInd w:val="0"/>
        <w:jc w:val="both"/>
        <w:rPr>
          <w:rFonts w:cstheme="minorHAnsi"/>
          <w:iCs/>
          <w:lang w:val="en-US"/>
        </w:rPr>
      </w:pPr>
      <w:r w:rsidRPr="00AB6274">
        <w:rPr>
          <w:rFonts w:cstheme="minorHAnsi"/>
          <w:iCs/>
          <w:lang w:val="en-US"/>
        </w:rPr>
        <w:t xml:space="preserve">Resolution in accordance with item </w:t>
      </w:r>
      <w:r w:rsidR="00256D30">
        <w:rPr>
          <w:rFonts w:cstheme="minorHAnsi"/>
          <w:iCs/>
          <w:lang w:val="en-US"/>
        </w:rPr>
        <w:t>1</w:t>
      </w:r>
      <w:r w:rsidR="0034742B">
        <w:rPr>
          <w:rFonts w:cstheme="minorHAnsi"/>
          <w:iCs/>
          <w:lang w:val="en-US"/>
        </w:rPr>
        <w:t>2</w:t>
      </w:r>
      <w:r w:rsidRPr="00AB6274">
        <w:rPr>
          <w:rFonts w:cstheme="minorHAnsi"/>
          <w:iCs/>
          <w:lang w:val="en-US"/>
        </w:rPr>
        <w:t xml:space="preserve"> is valid where supported by shareholders representing at least nine tenths of the votes cast and the shares represented at the general meeting.</w:t>
      </w:r>
    </w:p>
    <w:p w14:paraId="120315CF" w14:textId="77777777" w:rsidR="00F2278B" w:rsidRPr="00E664DE" w:rsidRDefault="00F2278B" w:rsidP="00F2278B">
      <w:pPr>
        <w:autoSpaceDE w:val="0"/>
        <w:autoSpaceDN w:val="0"/>
        <w:adjustRightInd w:val="0"/>
        <w:jc w:val="both"/>
        <w:rPr>
          <w:rFonts w:cstheme="minorHAnsi"/>
          <w:iCs/>
        </w:rPr>
      </w:pPr>
    </w:p>
    <w:p w14:paraId="1B6868AA" w14:textId="77777777" w:rsidR="00F2278B" w:rsidRPr="00E664DE" w:rsidRDefault="00F2278B" w:rsidP="00C71BCD">
      <w:pPr>
        <w:pStyle w:val="ListParagraph"/>
        <w:numPr>
          <w:ilvl w:val="0"/>
          <w:numId w:val="42"/>
        </w:numPr>
        <w:tabs>
          <w:tab w:val="left" w:pos="1134"/>
          <w:tab w:val="left" w:pos="1984"/>
          <w:tab w:val="left" w:pos="2835"/>
          <w:tab w:val="left" w:pos="4819"/>
          <w:tab w:val="left" w:pos="7937"/>
        </w:tabs>
        <w:autoSpaceDE w:val="0"/>
        <w:autoSpaceDN w:val="0"/>
        <w:adjustRightInd w:val="0"/>
        <w:rPr>
          <w:b/>
        </w:rPr>
      </w:pPr>
      <w:r w:rsidRPr="00E664DE">
        <w:rPr>
          <w:b/>
        </w:rPr>
        <w:t>Number of shares and votes</w:t>
      </w:r>
    </w:p>
    <w:p w14:paraId="0F83F9A8" w14:textId="77777777" w:rsidR="005329A9" w:rsidRDefault="00F2278B" w:rsidP="005329A9">
      <w:pPr>
        <w:jc w:val="both"/>
      </w:pPr>
      <w:r w:rsidRPr="00E664DE">
        <w:rPr>
          <w:lang w:val="en-US"/>
        </w:rPr>
        <w:t>The total number of shares in the Company amounts</w:t>
      </w:r>
      <w:r w:rsidRPr="0068305D">
        <w:rPr>
          <w:lang w:val="en-US"/>
        </w:rPr>
        <w:t xml:space="preserve"> to </w:t>
      </w:r>
      <w:bookmarkStart w:id="2" w:name="_Hlk194920157"/>
      <w:r w:rsidR="0034742B" w:rsidRPr="0068305D">
        <w:rPr>
          <w:rStyle w:val="ui-provider"/>
          <w:rFonts w:eastAsiaTheme="majorEastAsia"/>
          <w:lang w:val="en-US"/>
        </w:rPr>
        <w:t>38</w:t>
      </w:r>
      <w:r w:rsidRPr="0068305D">
        <w:rPr>
          <w:rStyle w:val="ui-provider"/>
          <w:rFonts w:eastAsiaTheme="majorEastAsia"/>
        </w:rPr>
        <w:t>,</w:t>
      </w:r>
      <w:r w:rsidR="00A158E3" w:rsidRPr="0068305D">
        <w:rPr>
          <w:rStyle w:val="ui-provider"/>
          <w:rFonts w:eastAsiaTheme="majorEastAsia"/>
        </w:rPr>
        <w:t>1</w:t>
      </w:r>
      <w:r w:rsidR="0034742B" w:rsidRPr="0068305D">
        <w:rPr>
          <w:rStyle w:val="ui-provider"/>
          <w:rFonts w:eastAsiaTheme="majorEastAsia"/>
        </w:rPr>
        <w:t>09</w:t>
      </w:r>
      <w:r w:rsidR="006D7DD5" w:rsidRPr="0068305D">
        <w:rPr>
          <w:rStyle w:val="ui-provider"/>
          <w:rFonts w:eastAsiaTheme="majorEastAsia"/>
        </w:rPr>
        <w:t>,</w:t>
      </w:r>
      <w:r w:rsidR="0034742B" w:rsidRPr="0068305D">
        <w:rPr>
          <w:rStyle w:val="ui-provider"/>
          <w:rFonts w:eastAsiaTheme="majorEastAsia"/>
        </w:rPr>
        <w:t>829</w:t>
      </w:r>
      <w:bookmarkEnd w:id="2"/>
      <w:r w:rsidR="006D7DD5" w:rsidRPr="0068305D">
        <w:rPr>
          <w:rStyle w:val="ui-provider"/>
          <w:rFonts w:eastAsiaTheme="majorEastAsia"/>
        </w:rPr>
        <w:t xml:space="preserve"> </w:t>
      </w:r>
      <w:r w:rsidRPr="0068305D">
        <w:rPr>
          <w:lang w:val="en-US"/>
        </w:rPr>
        <w:t xml:space="preserve">shares and votes in the Company to </w:t>
      </w:r>
      <w:r w:rsidRPr="0068305D">
        <w:rPr>
          <w:rStyle w:val="ui-provider"/>
          <w:rFonts w:eastAsiaTheme="majorEastAsia"/>
        </w:rPr>
        <w:t>3</w:t>
      </w:r>
      <w:r w:rsidR="0068305D" w:rsidRPr="0068305D">
        <w:rPr>
          <w:rStyle w:val="ui-provider"/>
          <w:rFonts w:eastAsiaTheme="majorEastAsia"/>
        </w:rPr>
        <w:t>8</w:t>
      </w:r>
      <w:r w:rsidRPr="0068305D">
        <w:rPr>
          <w:rStyle w:val="ui-provider"/>
          <w:rFonts w:eastAsiaTheme="majorEastAsia"/>
        </w:rPr>
        <w:t>,</w:t>
      </w:r>
      <w:r w:rsidR="00622A3F" w:rsidRPr="0068305D">
        <w:rPr>
          <w:rStyle w:val="ui-provider"/>
          <w:rFonts w:eastAsiaTheme="majorEastAsia"/>
        </w:rPr>
        <w:t>1</w:t>
      </w:r>
      <w:r w:rsidR="0068305D" w:rsidRPr="0068305D">
        <w:rPr>
          <w:rStyle w:val="ui-provider"/>
          <w:rFonts w:eastAsiaTheme="majorEastAsia"/>
        </w:rPr>
        <w:t>09</w:t>
      </w:r>
      <w:r w:rsidRPr="0068305D">
        <w:rPr>
          <w:rStyle w:val="ui-provider"/>
          <w:rFonts w:eastAsiaTheme="majorEastAsia"/>
        </w:rPr>
        <w:t>,</w:t>
      </w:r>
      <w:r w:rsidR="0068305D" w:rsidRPr="0068305D">
        <w:rPr>
          <w:rStyle w:val="ui-provider"/>
          <w:rFonts w:eastAsiaTheme="majorEastAsia"/>
        </w:rPr>
        <w:t>829</w:t>
      </w:r>
      <w:r w:rsidRPr="0068305D">
        <w:rPr>
          <w:rStyle w:val="ui-provider"/>
          <w:rFonts w:eastAsiaTheme="majorEastAsia"/>
        </w:rPr>
        <w:t xml:space="preserve"> </w:t>
      </w:r>
      <w:r w:rsidRPr="0068305D">
        <w:rPr>
          <w:lang w:val="en-US"/>
        </w:rPr>
        <w:t xml:space="preserve">as of the date of this notice. </w:t>
      </w:r>
      <w:r w:rsidRPr="0068305D">
        <w:t>The Company does not hol</w:t>
      </w:r>
      <w:r w:rsidRPr="00E664DE">
        <w:t>d any own shares.</w:t>
      </w:r>
    </w:p>
    <w:p w14:paraId="550D68D6" w14:textId="77777777" w:rsidR="005329A9" w:rsidRDefault="005329A9" w:rsidP="005329A9">
      <w:pPr>
        <w:jc w:val="both"/>
        <w:rPr>
          <w:b/>
          <w:color w:val="333333"/>
        </w:rPr>
      </w:pPr>
    </w:p>
    <w:p w14:paraId="7E7BCC87" w14:textId="77777777" w:rsidR="00F2278B" w:rsidRPr="005329A9" w:rsidRDefault="00F2278B" w:rsidP="00C71BCD">
      <w:pPr>
        <w:pStyle w:val="ListParagraph"/>
        <w:numPr>
          <w:ilvl w:val="0"/>
          <w:numId w:val="42"/>
        </w:numPr>
        <w:jc w:val="both"/>
      </w:pPr>
      <w:r w:rsidRPr="005329A9">
        <w:rPr>
          <w:b/>
          <w:color w:val="333333"/>
          <w:lang w:val="en-US"/>
        </w:rPr>
        <w:t xml:space="preserve">Documentation and other </w:t>
      </w:r>
      <w:r w:rsidRPr="005329A9">
        <w:rPr>
          <w:b/>
          <w:bCs/>
          <w:lang w:val="en-US"/>
        </w:rPr>
        <w:t>information</w:t>
      </w:r>
    </w:p>
    <w:p w14:paraId="6E6261BC" w14:textId="77777777" w:rsidR="00F2278B" w:rsidRPr="00E664DE" w:rsidRDefault="00F2278B" w:rsidP="00F2278B">
      <w:pPr>
        <w:spacing w:after="180"/>
        <w:jc w:val="both"/>
        <w:rPr>
          <w:lang w:val="en-US"/>
        </w:rPr>
      </w:pPr>
      <w:r w:rsidRPr="00E664DE">
        <w:rPr>
          <w:lang w:val="en-US"/>
        </w:rPr>
        <w:t xml:space="preserve">Copies of accounting documents, auditor's report, power of attorney forms, and the complete proposals and other documents that shall be available in accordance with the Swedish Companies Act are available at the offices of the Company three weeks before the Meeting. All documents will upon request be sent to the shareholders who provide their e-mail of postal address. </w:t>
      </w:r>
    </w:p>
    <w:p w14:paraId="4F4C4B87" w14:textId="77777777" w:rsidR="00F2278B" w:rsidRPr="00E664DE" w:rsidRDefault="00F2278B" w:rsidP="00F2278B">
      <w:pPr>
        <w:spacing w:after="240"/>
        <w:jc w:val="both"/>
        <w:rPr>
          <w:lang w:val="en-US"/>
        </w:rPr>
      </w:pPr>
      <w:r w:rsidRPr="00E664DE">
        <w:rPr>
          <w:lang w:val="en-US"/>
        </w:rPr>
        <w:t>The shareholders are hereby notified regarding the right to, at the Meeting, request information from the board of Directors and managing director according to Ch. 7 § 32 of the Swedish Companies Act.</w:t>
      </w:r>
    </w:p>
    <w:p w14:paraId="3CFA58FA" w14:textId="77777777" w:rsidR="00F2278B" w:rsidRPr="00E664DE" w:rsidRDefault="00F2278B" w:rsidP="00F2278B">
      <w:pPr>
        <w:rPr>
          <w:rFonts w:cstheme="minorHAnsi"/>
          <w:bCs/>
          <w:iCs/>
        </w:rPr>
      </w:pPr>
      <w:r w:rsidRPr="00E664DE">
        <w:rPr>
          <w:rFonts w:eastAsia="PMingLiU" w:cstheme="minorHAnsi"/>
          <w:b/>
          <w:iCs/>
        </w:rPr>
        <w:t>Processing of personal data</w:t>
      </w:r>
    </w:p>
    <w:p w14:paraId="6B344DFA" w14:textId="77777777" w:rsidR="00F2278B" w:rsidRPr="00E664DE" w:rsidRDefault="00F2278B" w:rsidP="00F2278B">
      <w:pPr>
        <w:jc w:val="both"/>
        <w:rPr>
          <w:lang w:val="en-US"/>
        </w:rPr>
      </w:pPr>
      <w:r w:rsidRPr="00E664DE">
        <w:rPr>
          <w:lang w:val="en-US"/>
        </w:rPr>
        <w:t>For information on how personal data is processed in relation the meeting, see the Privacy notice available on Euroclear Sweden AB's website:</w:t>
      </w:r>
    </w:p>
    <w:p w14:paraId="50A063E2" w14:textId="77777777" w:rsidR="00F2278B" w:rsidRPr="00E664DE" w:rsidRDefault="00F2278B" w:rsidP="00F2278B">
      <w:pPr>
        <w:spacing w:after="180"/>
        <w:jc w:val="both"/>
        <w:rPr>
          <w:rFonts w:ascii="Times New Roman" w:eastAsia="PMingLiU" w:hAnsi="Times New Roman"/>
          <w:b/>
          <w:lang w:val="en-US"/>
        </w:rPr>
      </w:pPr>
      <w:r w:rsidRPr="00E664DE">
        <w:rPr>
          <w:lang w:val="en-US"/>
        </w:rPr>
        <w:t>https://www.euroclear.com/dam/ESw/Legal/Privacy-notice-bolagsstammor-engelska.pdf.</w:t>
      </w:r>
    </w:p>
    <w:p w14:paraId="3424BCE1" w14:textId="77777777" w:rsidR="00F2278B" w:rsidRPr="00E664DE" w:rsidRDefault="00F2278B" w:rsidP="00F2278B">
      <w:pPr>
        <w:autoSpaceDE w:val="0"/>
        <w:autoSpaceDN w:val="0"/>
        <w:adjustRightInd w:val="0"/>
        <w:jc w:val="both"/>
        <w:rPr>
          <w:rFonts w:cstheme="minorHAnsi"/>
          <w:iCs/>
          <w:lang w:val="en-US"/>
        </w:rPr>
      </w:pPr>
    </w:p>
    <w:p w14:paraId="006ECD2C" w14:textId="77777777" w:rsidR="00F2278B" w:rsidRPr="00E664DE" w:rsidRDefault="00F2278B" w:rsidP="00F2278B">
      <w:pPr>
        <w:jc w:val="center"/>
        <w:rPr>
          <w:b/>
          <w:lang w:val="en-US"/>
        </w:rPr>
      </w:pPr>
      <w:r w:rsidRPr="00E664DE">
        <w:rPr>
          <w:b/>
          <w:lang w:val="en-US"/>
        </w:rPr>
        <w:lastRenderedPageBreak/>
        <w:t>4C Group AB (</w:t>
      </w:r>
      <w:proofErr w:type="spellStart"/>
      <w:r w:rsidRPr="00E664DE">
        <w:rPr>
          <w:b/>
          <w:lang w:val="en-US"/>
        </w:rPr>
        <w:t>publ</w:t>
      </w:r>
      <w:proofErr w:type="spellEnd"/>
      <w:r w:rsidRPr="00E664DE">
        <w:rPr>
          <w:b/>
          <w:lang w:val="en-US"/>
        </w:rPr>
        <w:t>)</w:t>
      </w:r>
    </w:p>
    <w:p w14:paraId="35C1C4C3" w14:textId="77777777" w:rsidR="00F2278B" w:rsidRPr="00E664DE" w:rsidRDefault="00F2278B" w:rsidP="00F2278B">
      <w:pPr>
        <w:pStyle w:val="BodyText"/>
        <w:spacing w:after="0"/>
        <w:jc w:val="center"/>
        <w:rPr>
          <w:lang w:val="en-US"/>
        </w:rPr>
      </w:pPr>
      <w:r w:rsidRPr="00E664DE">
        <w:rPr>
          <w:lang w:val="en-US"/>
        </w:rPr>
        <w:t xml:space="preserve">The Board of Directors </w:t>
      </w:r>
    </w:p>
    <w:p w14:paraId="65A63405" w14:textId="77777777" w:rsidR="00F2278B" w:rsidRPr="00E664DE" w:rsidRDefault="00F2278B" w:rsidP="00F2278B">
      <w:pPr>
        <w:pStyle w:val="BodyText"/>
        <w:jc w:val="center"/>
      </w:pPr>
      <w:r w:rsidRPr="00E664DE">
        <w:rPr>
          <w:lang w:val="en-US"/>
        </w:rPr>
        <w:t>Stockholm in April 202</w:t>
      </w:r>
      <w:r w:rsidR="00622A3F">
        <w:rPr>
          <w:lang w:val="en-US"/>
        </w:rPr>
        <w:t>5</w:t>
      </w:r>
    </w:p>
    <w:p w14:paraId="34269E8D" w14:textId="77777777" w:rsidR="00F2278B" w:rsidRPr="00E664DE" w:rsidRDefault="00F2278B" w:rsidP="00F2278B">
      <w:pPr>
        <w:autoSpaceDE w:val="0"/>
        <w:autoSpaceDN w:val="0"/>
        <w:adjustRightInd w:val="0"/>
        <w:jc w:val="both"/>
        <w:rPr>
          <w:rFonts w:cstheme="minorHAnsi"/>
          <w:iCs/>
        </w:rPr>
      </w:pPr>
    </w:p>
    <w:p w14:paraId="489D4EEE" w14:textId="77777777" w:rsidR="00F2278B" w:rsidRPr="00E664DE" w:rsidRDefault="00F2278B" w:rsidP="00F2278B">
      <w:pPr>
        <w:pStyle w:val="ListParagraph"/>
        <w:numPr>
          <w:ilvl w:val="0"/>
          <w:numId w:val="0"/>
        </w:numPr>
        <w:ind w:left="720"/>
      </w:pPr>
    </w:p>
    <w:sectPr w:rsidR="00F2278B" w:rsidRPr="00E664DE" w:rsidSect="003A4B3F">
      <w:headerReference w:type="even" r:id="rId12"/>
      <w:headerReference w:type="default" r:id="rId13"/>
      <w:footerReference w:type="even" r:id="rId14"/>
      <w:footerReference w:type="default" r:id="rId15"/>
      <w:headerReference w:type="first" r:id="rId16"/>
      <w:footerReference w:type="first" r:id="rId17"/>
      <w:pgSz w:w="11906" w:h="16838" w:code="9"/>
      <w:pgMar w:top="2127" w:right="1440" w:bottom="2127"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C0DD6D" w14:textId="77777777" w:rsidR="000369DA" w:rsidRDefault="000369DA" w:rsidP="00D45F6B">
      <w:r>
        <w:separator/>
      </w:r>
    </w:p>
  </w:endnote>
  <w:endnote w:type="continuationSeparator" w:id="0">
    <w:p w14:paraId="09A91491" w14:textId="77777777" w:rsidR="000369DA" w:rsidRDefault="000369DA" w:rsidP="00D45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PMincho">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74CF2" w14:textId="77777777" w:rsidR="00744BB0" w:rsidRDefault="00744B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hAnsi="Calibri" w:cs="Calibri"/>
        <w:sz w:val="16"/>
        <w:szCs w:val="16"/>
        <w:lang w:val="en-US"/>
      </w:rPr>
      <w:id w:val="-78453972"/>
      <w:docPartObj>
        <w:docPartGallery w:val="Page Numbers (Bottom of Page)"/>
        <w:docPartUnique/>
      </w:docPartObj>
    </w:sdtPr>
    <w:sdtEndPr>
      <w:rPr>
        <w:rFonts w:asciiTheme="minorHAnsi" w:hAnsiTheme="minorHAnsi" w:cstheme="minorBidi"/>
        <w:sz w:val="22"/>
        <w:szCs w:val="22"/>
      </w:rPr>
    </w:sdtEndPr>
    <w:sdtContent>
      <w:sdt>
        <w:sdtPr>
          <w:rPr>
            <w:rFonts w:ascii="Calibri" w:hAnsi="Calibri" w:cs="Calibri"/>
            <w:sz w:val="16"/>
            <w:szCs w:val="16"/>
            <w:lang w:val="en-US"/>
          </w:rPr>
          <w:id w:val="-1508051592"/>
          <w:docPartObj>
            <w:docPartGallery w:val="Page Numbers (Bottom of Page)"/>
            <w:docPartUnique/>
          </w:docPartObj>
        </w:sdtPr>
        <w:sdtEndPr>
          <w:rPr>
            <w:rFonts w:asciiTheme="minorHAnsi" w:hAnsiTheme="minorHAnsi" w:cstheme="minorBidi"/>
            <w:sz w:val="22"/>
            <w:szCs w:val="22"/>
          </w:r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508"/>
              <w:gridCol w:w="1508"/>
            </w:tblGrid>
            <w:tr w:rsidR="000E0442" w:rsidRPr="000B0616" w14:paraId="0EB720DA" w14:textId="77777777" w:rsidTr="009A14FC">
              <w:tc>
                <w:tcPr>
                  <w:tcW w:w="9016" w:type="dxa"/>
                  <w:gridSpan w:val="2"/>
                </w:tcPr>
                <w:p w14:paraId="0276480F" w14:textId="77777777" w:rsidR="000E0442" w:rsidRPr="000B0616" w:rsidRDefault="00D66DD4" w:rsidP="009A14FC">
                  <w:pPr>
                    <w:spacing w:after="120"/>
                    <w:rPr>
                      <w:rFonts w:asciiTheme="majorHAnsi" w:hAnsiTheme="majorHAnsi"/>
                      <w:color w:val="BFBFBF" w:themeColor="background1" w:themeShade="BF"/>
                      <w:sz w:val="16"/>
                      <w:szCs w:val="16"/>
                      <w:lang w:val="en"/>
                    </w:rPr>
                  </w:pPr>
                  <w:r w:rsidRPr="0081482B">
                    <w:rPr>
                      <w:rFonts w:ascii="Calibri" w:hAnsi="Calibri" w:cs="Calibri"/>
                      <w:sz w:val="16"/>
                      <w:szCs w:val="16"/>
                    </w:rPr>
                    <w:t>INFO@4CSTRATEGIES.COM</w:t>
                  </w:r>
                </w:p>
              </w:tc>
            </w:tr>
            <w:tr w:rsidR="000E0442" w14:paraId="363A6E0A" w14:textId="77777777" w:rsidTr="009A14FC">
              <w:tc>
                <w:tcPr>
                  <w:tcW w:w="7508" w:type="dxa"/>
                </w:tcPr>
                <w:p w14:paraId="2273F48E" w14:textId="77777777" w:rsidR="000E0442" w:rsidRPr="00744BB0" w:rsidRDefault="00744BB0" w:rsidP="009A14FC">
                  <w:pPr>
                    <w:spacing w:after="120"/>
                    <w:rPr>
                      <w:rFonts w:asciiTheme="majorHAnsi" w:hAnsiTheme="majorHAnsi"/>
                      <w:lang w:val="sv-SE"/>
                    </w:rPr>
                  </w:pPr>
                  <w:r w:rsidRPr="00EC3DCA">
                    <w:rPr>
                      <w:rFonts w:asciiTheme="majorHAnsi" w:eastAsiaTheme="minorEastAsia" w:hAnsiTheme="majorHAnsi"/>
                      <w:noProof/>
                      <w:color w:val="262626"/>
                      <w:sz w:val="16"/>
                      <w:szCs w:val="16"/>
                      <w:lang w:val="sv-SE" w:eastAsia="en-GB"/>
                    </w:rPr>
                    <w:t>4C STRATEGIES</w:t>
                  </w:r>
                  <w:r>
                    <w:rPr>
                      <w:rFonts w:asciiTheme="majorHAnsi" w:eastAsiaTheme="minorEastAsia" w:hAnsiTheme="majorHAnsi"/>
                      <w:noProof/>
                      <w:color w:val="262626"/>
                      <w:sz w:val="16"/>
                      <w:szCs w:val="16"/>
                      <w:lang w:val="sv-SE" w:eastAsia="en-GB"/>
                    </w:rPr>
                    <w:t xml:space="preserve"> </w:t>
                  </w:r>
                  <w:r w:rsidRPr="00EC3DCA">
                    <w:rPr>
                      <w:rFonts w:asciiTheme="majorHAnsi" w:eastAsiaTheme="minorEastAsia" w:hAnsiTheme="majorHAnsi"/>
                      <w:noProof/>
                      <w:color w:val="262626"/>
                      <w:sz w:val="16"/>
                      <w:szCs w:val="16"/>
                      <w:lang w:val="sv-SE" w:eastAsia="en-GB"/>
                    </w:rPr>
                    <w:t>•</w:t>
                  </w:r>
                  <w:r>
                    <w:rPr>
                      <w:rFonts w:asciiTheme="majorHAnsi" w:eastAsiaTheme="minorEastAsia" w:hAnsiTheme="majorHAnsi"/>
                      <w:noProof/>
                      <w:color w:val="262626"/>
                      <w:sz w:val="16"/>
                      <w:szCs w:val="16"/>
                      <w:lang w:val="sv-SE" w:eastAsia="en-GB"/>
                    </w:rPr>
                    <w:t xml:space="preserve"> </w:t>
                  </w:r>
                  <w:r w:rsidRPr="00EC3DCA">
                    <w:rPr>
                      <w:rFonts w:asciiTheme="majorHAnsi" w:eastAsiaTheme="minorEastAsia" w:hAnsiTheme="majorHAnsi"/>
                      <w:noProof/>
                      <w:color w:val="262626"/>
                      <w:sz w:val="16"/>
                      <w:szCs w:val="16"/>
                      <w:lang w:val="sv-SE" w:eastAsia="en-GB"/>
                    </w:rPr>
                    <w:t>VATTUGATAN 17,111 52</w:t>
                  </w:r>
                  <w:r>
                    <w:rPr>
                      <w:rFonts w:asciiTheme="majorHAnsi" w:eastAsiaTheme="minorEastAsia" w:hAnsiTheme="majorHAnsi"/>
                      <w:noProof/>
                      <w:color w:val="262626"/>
                      <w:sz w:val="16"/>
                      <w:szCs w:val="16"/>
                      <w:lang w:val="sv-SE" w:eastAsia="en-GB"/>
                    </w:rPr>
                    <w:t xml:space="preserve"> </w:t>
                  </w:r>
                  <w:r w:rsidRPr="00EC3DCA">
                    <w:rPr>
                      <w:rFonts w:asciiTheme="majorHAnsi" w:eastAsiaTheme="minorEastAsia" w:hAnsiTheme="majorHAnsi"/>
                      <w:noProof/>
                      <w:color w:val="262626"/>
                      <w:sz w:val="16"/>
                      <w:szCs w:val="16"/>
                      <w:lang w:val="sv-SE" w:eastAsia="en-GB"/>
                    </w:rPr>
                    <w:t>•</w:t>
                  </w:r>
                  <w:r>
                    <w:rPr>
                      <w:rFonts w:asciiTheme="majorHAnsi" w:eastAsiaTheme="minorEastAsia" w:hAnsiTheme="majorHAnsi"/>
                      <w:noProof/>
                      <w:color w:val="262626"/>
                      <w:sz w:val="16"/>
                      <w:szCs w:val="16"/>
                      <w:lang w:val="sv-SE" w:eastAsia="en-GB"/>
                    </w:rPr>
                    <w:t xml:space="preserve"> </w:t>
                  </w:r>
                  <w:r w:rsidRPr="00EC3DCA">
                    <w:rPr>
                      <w:rFonts w:asciiTheme="majorHAnsi" w:eastAsiaTheme="minorEastAsia" w:hAnsiTheme="majorHAnsi"/>
                      <w:noProof/>
                      <w:color w:val="262626"/>
                      <w:sz w:val="16"/>
                      <w:szCs w:val="16"/>
                      <w:lang w:val="sv-SE" w:eastAsia="en-GB"/>
                    </w:rPr>
                    <w:t>STOCKHOLM</w:t>
                  </w:r>
                  <w:r>
                    <w:rPr>
                      <w:rFonts w:asciiTheme="majorHAnsi" w:eastAsiaTheme="minorEastAsia" w:hAnsiTheme="majorHAnsi"/>
                      <w:noProof/>
                      <w:color w:val="262626"/>
                      <w:sz w:val="16"/>
                      <w:szCs w:val="16"/>
                      <w:lang w:val="sv-SE" w:eastAsia="en-GB"/>
                    </w:rPr>
                    <w:t xml:space="preserve"> </w:t>
                  </w:r>
                  <w:r w:rsidRPr="00EC3DCA">
                    <w:rPr>
                      <w:rFonts w:asciiTheme="majorHAnsi" w:eastAsiaTheme="minorEastAsia" w:hAnsiTheme="majorHAnsi"/>
                      <w:noProof/>
                      <w:color w:val="262626"/>
                      <w:sz w:val="16"/>
                      <w:szCs w:val="16"/>
                      <w:lang w:val="sv-SE" w:eastAsia="en-GB"/>
                    </w:rPr>
                    <w:t>•</w:t>
                  </w:r>
                  <w:r>
                    <w:rPr>
                      <w:rFonts w:asciiTheme="majorHAnsi" w:eastAsiaTheme="minorEastAsia" w:hAnsiTheme="majorHAnsi"/>
                      <w:noProof/>
                      <w:color w:val="262626"/>
                      <w:sz w:val="16"/>
                      <w:szCs w:val="16"/>
                      <w:lang w:val="sv-SE" w:eastAsia="en-GB"/>
                    </w:rPr>
                    <w:t xml:space="preserve"> </w:t>
                  </w:r>
                  <w:r w:rsidRPr="00EC3DCA">
                    <w:rPr>
                      <w:rFonts w:asciiTheme="majorHAnsi" w:eastAsiaTheme="minorEastAsia" w:hAnsiTheme="majorHAnsi"/>
                      <w:noProof/>
                      <w:color w:val="262626"/>
                      <w:sz w:val="16"/>
                      <w:szCs w:val="16"/>
                      <w:lang w:val="sv-SE" w:eastAsia="en-GB"/>
                    </w:rPr>
                    <w:t>SWEDEN</w:t>
                  </w:r>
                </w:p>
              </w:tc>
              <w:tc>
                <w:tcPr>
                  <w:tcW w:w="1508" w:type="dxa"/>
                </w:tcPr>
                <w:p w14:paraId="5579A1A1" w14:textId="77777777" w:rsidR="000E0442" w:rsidRPr="005C445B" w:rsidRDefault="000E0442" w:rsidP="009A14FC">
                  <w:pPr>
                    <w:spacing w:after="120"/>
                    <w:jc w:val="right"/>
                    <w:rPr>
                      <w:rFonts w:asciiTheme="majorHAnsi" w:hAnsiTheme="majorHAnsi"/>
                      <w:sz w:val="16"/>
                      <w:szCs w:val="16"/>
                      <w:lang w:val="en"/>
                    </w:rPr>
                  </w:pPr>
                  <w:r w:rsidRPr="005C445B">
                    <w:rPr>
                      <w:rFonts w:asciiTheme="majorHAnsi" w:hAnsiTheme="majorHAnsi"/>
                      <w:sz w:val="16"/>
                      <w:szCs w:val="16"/>
                      <w:lang w:val="en"/>
                    </w:rPr>
                    <w:fldChar w:fldCharType="begin"/>
                  </w:r>
                  <w:r w:rsidRPr="005C445B">
                    <w:rPr>
                      <w:rFonts w:asciiTheme="majorHAnsi" w:hAnsiTheme="majorHAnsi"/>
                      <w:sz w:val="16"/>
                      <w:szCs w:val="16"/>
                      <w:lang w:val="en"/>
                    </w:rPr>
                    <w:instrText xml:space="preserve"> PAGE   \* MERGEFORMAT </w:instrText>
                  </w:r>
                  <w:r w:rsidRPr="005C445B">
                    <w:rPr>
                      <w:rFonts w:asciiTheme="majorHAnsi" w:hAnsiTheme="majorHAnsi"/>
                      <w:sz w:val="16"/>
                      <w:szCs w:val="16"/>
                      <w:lang w:val="en"/>
                    </w:rPr>
                    <w:fldChar w:fldCharType="separate"/>
                  </w:r>
                  <w:r w:rsidRPr="005C445B">
                    <w:rPr>
                      <w:rFonts w:asciiTheme="majorHAnsi" w:hAnsiTheme="majorHAnsi"/>
                      <w:noProof/>
                      <w:sz w:val="16"/>
                      <w:szCs w:val="16"/>
                      <w:lang w:val="en"/>
                    </w:rPr>
                    <w:t>1</w:t>
                  </w:r>
                  <w:r w:rsidRPr="005C445B">
                    <w:rPr>
                      <w:rFonts w:asciiTheme="majorHAnsi" w:hAnsiTheme="majorHAnsi"/>
                      <w:noProof/>
                      <w:sz w:val="16"/>
                      <w:szCs w:val="16"/>
                      <w:lang w:val="en"/>
                    </w:rPr>
                    <w:fldChar w:fldCharType="end"/>
                  </w:r>
                </w:p>
              </w:tc>
            </w:tr>
          </w:tbl>
          <w:p w14:paraId="7A9C3338" w14:textId="77777777" w:rsidR="00D45F6B" w:rsidRPr="00F329FD" w:rsidRDefault="000144E4" w:rsidP="009A14FC">
            <w:pPr>
              <w:pStyle w:val="NoSpacing"/>
              <w:rPr>
                <w:color w:val="808080"/>
                <w:sz w:val="18"/>
              </w:rPr>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41F43" w14:textId="77777777" w:rsidR="00744BB0" w:rsidRDefault="00744B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6E78E6" w14:textId="77777777" w:rsidR="000369DA" w:rsidRDefault="000369DA" w:rsidP="00D45F6B">
      <w:r>
        <w:separator/>
      </w:r>
    </w:p>
  </w:footnote>
  <w:footnote w:type="continuationSeparator" w:id="0">
    <w:p w14:paraId="20D26577" w14:textId="77777777" w:rsidR="000369DA" w:rsidRDefault="000369DA" w:rsidP="00D45F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511B0" w14:textId="77777777" w:rsidR="00744BB0" w:rsidRDefault="00744B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CAEDC" w14:textId="77777777" w:rsidR="00D45F6B" w:rsidRDefault="00D45F6B" w:rsidP="00D45F6B">
    <w:pPr>
      <w:pStyle w:val="Header"/>
      <w:jc w:val="right"/>
      <w:rPr>
        <w:rFonts w:asciiTheme="majorHAnsi" w:eastAsiaTheme="minorEastAsia" w:hAnsiTheme="majorHAnsi"/>
        <w:noProof/>
        <w:color w:val="262626"/>
        <w:sz w:val="16"/>
        <w:szCs w:val="16"/>
        <w:lang w:eastAsia="en-GB"/>
      </w:rPr>
    </w:pPr>
  </w:p>
  <w:p w14:paraId="71CD17A5" w14:textId="77777777" w:rsidR="00D45F6B" w:rsidRDefault="00D45F6B" w:rsidP="00D45F6B">
    <w:pPr>
      <w:pStyle w:val="Header"/>
      <w:jc w:val="right"/>
    </w:pPr>
    <w:r w:rsidRPr="00A910B1">
      <w:rPr>
        <w:rFonts w:asciiTheme="majorHAnsi" w:eastAsiaTheme="minorEastAsia" w:hAnsiTheme="majorHAnsi"/>
        <w:noProof/>
        <w:color w:val="262626"/>
        <w:sz w:val="16"/>
        <w:szCs w:val="16"/>
        <w:lang w:eastAsia="en-GB"/>
      </w:rPr>
      <w:t>W</w:t>
    </w:r>
    <w:r>
      <w:rPr>
        <w:rFonts w:asciiTheme="majorHAnsi" w:eastAsiaTheme="minorEastAsia" w:hAnsiTheme="majorHAnsi"/>
        <w:noProof/>
        <w:color w:val="262626"/>
        <w:sz w:val="16"/>
        <w:szCs w:val="16"/>
        <w:lang w:eastAsia="en-GB"/>
      </w:rPr>
      <w:t>WW</w:t>
    </w:r>
    <w:r w:rsidRPr="00A910B1">
      <w:rPr>
        <w:rFonts w:asciiTheme="majorHAnsi" w:eastAsiaTheme="minorEastAsia" w:hAnsiTheme="majorHAnsi"/>
        <w:noProof/>
        <w:color w:val="262626"/>
        <w:sz w:val="16"/>
        <w:szCs w:val="16"/>
        <w:lang w:eastAsia="en-GB"/>
      </w:rPr>
      <w:t>.4CSTRATEGIES.COM</w:t>
    </w:r>
    <w:r w:rsidRPr="003D1F4F">
      <w:rPr>
        <w:noProof/>
        <w:sz w:val="16"/>
        <w:szCs w:val="16"/>
        <w:lang w:val="en"/>
      </w:rPr>
      <w:t xml:space="preserve"> </w:t>
    </w:r>
    <w:r w:rsidRPr="003D1F4F">
      <w:rPr>
        <w:noProof/>
        <w:sz w:val="16"/>
        <w:szCs w:val="16"/>
        <w:lang w:val="en"/>
      </w:rPr>
      <w:drawing>
        <wp:anchor distT="0" distB="0" distL="114300" distR="114300" simplePos="0" relativeHeight="251659264" behindDoc="0" locked="0" layoutInCell="1" allowOverlap="0" wp14:anchorId="0119A43B" wp14:editId="4FBE2DE5">
          <wp:simplePos x="0" y="0"/>
          <wp:positionH relativeFrom="margin">
            <wp:posOffset>0</wp:posOffset>
          </wp:positionH>
          <wp:positionV relativeFrom="page">
            <wp:posOffset>457200</wp:posOffset>
          </wp:positionV>
          <wp:extent cx="1764665" cy="390525"/>
          <wp:effectExtent l="0" t="0" r="6985" b="9525"/>
          <wp:wrapNone/>
          <wp:docPr id="6"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4665" cy="3905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0572C" w14:textId="77777777" w:rsidR="00744BB0" w:rsidRDefault="00744B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1C2162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25244556" o:spid="_x0000_i1025" type="#_x0000_t75" style="width:512pt;height:512pt;visibility:visible;mso-wrap-style:square">
            <v:imagedata r:id="rId1" o:title=""/>
          </v:shape>
        </w:pict>
      </mc:Choice>
      <mc:Fallback>
        <w:drawing>
          <wp:inline distT="0" distB="0" distL="0" distR="0" wp14:anchorId="3C4C47BA">
            <wp:extent cx="6502400" cy="6502400"/>
            <wp:effectExtent l="0" t="0" r="0" b="0"/>
            <wp:docPr id="925244556" name="Picture 925244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02400" cy="6502400"/>
                    </a:xfrm>
                    <a:prstGeom prst="rect">
                      <a:avLst/>
                    </a:prstGeom>
                    <a:noFill/>
                    <a:ln>
                      <a:noFill/>
                    </a:ln>
                  </pic:spPr>
                </pic:pic>
              </a:graphicData>
            </a:graphic>
          </wp:inline>
        </w:drawing>
      </mc:Fallback>
    </mc:AlternateContent>
  </w:numPicBullet>
  <w:abstractNum w:abstractNumId="0" w15:restartNumberingAfterBreak="0">
    <w:nsid w:val="03771557"/>
    <w:multiLevelType w:val="hybridMultilevel"/>
    <w:tmpl w:val="97C85014"/>
    <w:lvl w:ilvl="0" w:tplc="7204636C">
      <w:start w:val="3"/>
      <w:numFmt w:val="upperLetter"/>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9216132"/>
    <w:multiLevelType w:val="hybridMultilevel"/>
    <w:tmpl w:val="319A4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332D40"/>
    <w:multiLevelType w:val="hybridMultilevel"/>
    <w:tmpl w:val="370A0C6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2357E3"/>
    <w:multiLevelType w:val="hybridMultilevel"/>
    <w:tmpl w:val="413C00F0"/>
    <w:lvl w:ilvl="0" w:tplc="746A91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872C5B"/>
    <w:multiLevelType w:val="hybridMultilevel"/>
    <w:tmpl w:val="B0DA3FF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14B1233"/>
    <w:multiLevelType w:val="multilevel"/>
    <w:tmpl w:val="3BF81580"/>
    <w:lvl w:ilvl="0">
      <w:start w:val="1"/>
      <w:numFmt w:val="bullet"/>
      <w:lvlText w:val=""/>
      <w:lvlJc w:val="left"/>
      <w:pPr>
        <w:ind w:left="360" w:hanging="360"/>
      </w:pPr>
      <w:rPr>
        <w:rFonts w:ascii="Symbol" w:hAnsi="Symbol" w:hint="default"/>
        <w:color w:val="F28F40" w:themeColor="accent2"/>
      </w:rPr>
    </w:lvl>
    <w:lvl w:ilvl="1">
      <w:start w:val="1"/>
      <w:numFmt w:val="bullet"/>
      <w:lvlText w:val=""/>
      <w:lvlJc w:val="left"/>
      <w:pPr>
        <w:ind w:left="720" w:hanging="360"/>
      </w:pPr>
      <w:rPr>
        <w:rFonts w:ascii="Symbol" w:hAnsi="Symbol" w:hint="default"/>
        <w:color w:val="F28F40" w:themeColor="accent2"/>
      </w:rPr>
    </w:lvl>
    <w:lvl w:ilvl="2">
      <w:start w:val="1"/>
      <w:numFmt w:val="bullet"/>
      <w:lvlText w:val=""/>
      <w:lvlJc w:val="left"/>
      <w:pPr>
        <w:ind w:left="1080" w:hanging="360"/>
      </w:pPr>
      <w:rPr>
        <w:rFonts w:ascii="Symbol" w:hAnsi="Symbol" w:hint="default"/>
        <w:color w:val="F28F40" w:themeColor="accent2"/>
      </w:rPr>
    </w:lvl>
    <w:lvl w:ilvl="3">
      <w:start w:val="1"/>
      <w:numFmt w:val="bullet"/>
      <w:lvlText w:val=""/>
      <w:lvlJc w:val="left"/>
      <w:pPr>
        <w:ind w:left="1440" w:hanging="360"/>
      </w:pPr>
      <w:rPr>
        <w:rFonts w:ascii="Symbol" w:hAnsi="Symbol" w:hint="default"/>
        <w:color w:val="F28F40" w:themeColor="accent2"/>
      </w:rPr>
    </w:lvl>
    <w:lvl w:ilvl="4">
      <w:start w:val="1"/>
      <w:numFmt w:val="bullet"/>
      <w:lvlText w:val=""/>
      <w:lvlJc w:val="left"/>
      <w:pPr>
        <w:ind w:left="1800" w:hanging="360"/>
      </w:pPr>
      <w:rPr>
        <w:rFonts w:ascii="Symbol" w:hAnsi="Symbol" w:hint="default"/>
        <w:color w:val="F28F40" w:themeColor="accent2"/>
      </w:rPr>
    </w:lvl>
    <w:lvl w:ilvl="5">
      <w:start w:val="1"/>
      <w:numFmt w:val="bullet"/>
      <w:lvlText w:val=""/>
      <w:lvlJc w:val="left"/>
      <w:pPr>
        <w:ind w:left="2160" w:hanging="360"/>
      </w:pPr>
      <w:rPr>
        <w:rFonts w:ascii="Symbol" w:hAnsi="Symbol" w:hint="default"/>
        <w:color w:val="F28F40" w:themeColor="accent2"/>
      </w:rPr>
    </w:lvl>
    <w:lvl w:ilvl="6">
      <w:start w:val="1"/>
      <w:numFmt w:val="bullet"/>
      <w:lvlText w:val=""/>
      <w:lvlJc w:val="left"/>
      <w:pPr>
        <w:ind w:left="2520" w:hanging="360"/>
      </w:pPr>
      <w:rPr>
        <w:rFonts w:ascii="Symbol" w:hAnsi="Symbol" w:hint="default"/>
        <w:color w:val="F28F40" w:themeColor="accent2"/>
      </w:rPr>
    </w:lvl>
    <w:lvl w:ilvl="7">
      <w:start w:val="1"/>
      <w:numFmt w:val="bullet"/>
      <w:lvlText w:val=""/>
      <w:lvlJc w:val="left"/>
      <w:pPr>
        <w:ind w:left="2880" w:hanging="360"/>
      </w:pPr>
      <w:rPr>
        <w:rFonts w:ascii="Symbol" w:hAnsi="Symbol" w:hint="default"/>
        <w:color w:val="F28F40" w:themeColor="accent2"/>
      </w:rPr>
    </w:lvl>
    <w:lvl w:ilvl="8">
      <w:start w:val="1"/>
      <w:numFmt w:val="bullet"/>
      <w:lvlText w:val=""/>
      <w:lvlJc w:val="left"/>
      <w:pPr>
        <w:ind w:left="3240" w:hanging="360"/>
      </w:pPr>
      <w:rPr>
        <w:rFonts w:ascii="Symbol" w:hAnsi="Symbol" w:hint="default"/>
        <w:color w:val="F28F40" w:themeColor="accent2"/>
      </w:rPr>
    </w:lvl>
  </w:abstractNum>
  <w:abstractNum w:abstractNumId="6" w15:restartNumberingAfterBreak="0">
    <w:nsid w:val="118842A5"/>
    <w:multiLevelType w:val="hybridMultilevel"/>
    <w:tmpl w:val="E73C8D46"/>
    <w:lvl w:ilvl="0" w:tplc="6FDE0542">
      <w:start w:val="2"/>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13821205"/>
    <w:multiLevelType w:val="singleLevel"/>
    <w:tmpl w:val="0809000F"/>
    <w:lvl w:ilvl="0">
      <w:start w:val="1"/>
      <w:numFmt w:val="decimal"/>
      <w:lvlText w:val="%1."/>
      <w:lvlJc w:val="left"/>
      <w:pPr>
        <w:ind w:left="720" w:hanging="360"/>
      </w:pPr>
      <w:rPr>
        <w:rFonts w:hint="default"/>
        <w:color w:val="F28F40" w:themeColor="accent2"/>
      </w:rPr>
    </w:lvl>
  </w:abstractNum>
  <w:abstractNum w:abstractNumId="8" w15:restartNumberingAfterBreak="0">
    <w:nsid w:val="16520BB8"/>
    <w:multiLevelType w:val="hybridMultilevel"/>
    <w:tmpl w:val="93CA26EC"/>
    <w:lvl w:ilvl="0" w:tplc="0809000F">
      <w:start w:val="1"/>
      <w:numFmt w:val="decimal"/>
      <w:lvlText w:val="%1."/>
      <w:lvlJc w:val="left"/>
      <w:pPr>
        <w:ind w:left="360" w:hanging="360"/>
      </w:pPr>
      <w:rPr>
        <w:rFonts w:hint="default"/>
        <w:color w:val="F28F40" w:themeColor="accent2"/>
      </w:rPr>
    </w:lvl>
    <w:lvl w:ilvl="1" w:tplc="ADCCD892">
      <w:start w:val="1"/>
      <w:numFmt w:val="bullet"/>
      <w:lvlText w:val="o"/>
      <w:lvlJc w:val="left"/>
      <w:pPr>
        <w:ind w:left="1080" w:hanging="360"/>
      </w:pPr>
      <w:rPr>
        <w:rFonts w:ascii="Courier New" w:hAnsi="Courier New" w:cs="Courier New" w:hint="default"/>
      </w:rPr>
    </w:lvl>
    <w:lvl w:ilvl="2" w:tplc="0380A65A">
      <w:start w:val="1"/>
      <w:numFmt w:val="bullet"/>
      <w:lvlText w:val=""/>
      <w:lvlJc w:val="left"/>
      <w:pPr>
        <w:ind w:left="1800" w:hanging="360"/>
      </w:pPr>
      <w:rPr>
        <w:rFonts w:ascii="Wingdings" w:hAnsi="Wingdings" w:hint="default"/>
      </w:rPr>
    </w:lvl>
    <w:lvl w:ilvl="3" w:tplc="64B62DB8">
      <w:start w:val="1"/>
      <w:numFmt w:val="bullet"/>
      <w:lvlText w:val=""/>
      <w:lvlJc w:val="left"/>
      <w:pPr>
        <w:ind w:left="2520" w:hanging="360"/>
      </w:pPr>
      <w:rPr>
        <w:rFonts w:ascii="Symbol" w:hAnsi="Symbol" w:hint="default"/>
      </w:rPr>
    </w:lvl>
    <w:lvl w:ilvl="4" w:tplc="6C60297A" w:tentative="1">
      <w:start w:val="1"/>
      <w:numFmt w:val="bullet"/>
      <w:lvlText w:val="o"/>
      <w:lvlJc w:val="left"/>
      <w:pPr>
        <w:ind w:left="3240" w:hanging="360"/>
      </w:pPr>
      <w:rPr>
        <w:rFonts w:ascii="Courier New" w:hAnsi="Courier New" w:cs="Courier New" w:hint="default"/>
      </w:rPr>
    </w:lvl>
    <w:lvl w:ilvl="5" w:tplc="BBFE78E2" w:tentative="1">
      <w:start w:val="1"/>
      <w:numFmt w:val="bullet"/>
      <w:lvlText w:val=""/>
      <w:lvlJc w:val="left"/>
      <w:pPr>
        <w:ind w:left="3960" w:hanging="360"/>
      </w:pPr>
      <w:rPr>
        <w:rFonts w:ascii="Wingdings" w:hAnsi="Wingdings" w:hint="default"/>
      </w:rPr>
    </w:lvl>
    <w:lvl w:ilvl="6" w:tplc="0AF82AE4" w:tentative="1">
      <w:start w:val="1"/>
      <w:numFmt w:val="bullet"/>
      <w:lvlText w:val=""/>
      <w:lvlJc w:val="left"/>
      <w:pPr>
        <w:ind w:left="4680" w:hanging="360"/>
      </w:pPr>
      <w:rPr>
        <w:rFonts w:ascii="Symbol" w:hAnsi="Symbol" w:hint="default"/>
      </w:rPr>
    </w:lvl>
    <w:lvl w:ilvl="7" w:tplc="E5FC9F3C" w:tentative="1">
      <w:start w:val="1"/>
      <w:numFmt w:val="bullet"/>
      <w:lvlText w:val="o"/>
      <w:lvlJc w:val="left"/>
      <w:pPr>
        <w:ind w:left="5400" w:hanging="360"/>
      </w:pPr>
      <w:rPr>
        <w:rFonts w:ascii="Courier New" w:hAnsi="Courier New" w:cs="Courier New" w:hint="default"/>
      </w:rPr>
    </w:lvl>
    <w:lvl w:ilvl="8" w:tplc="455412F8" w:tentative="1">
      <w:start w:val="1"/>
      <w:numFmt w:val="bullet"/>
      <w:lvlText w:val=""/>
      <w:lvlJc w:val="left"/>
      <w:pPr>
        <w:ind w:left="6120" w:hanging="360"/>
      </w:pPr>
      <w:rPr>
        <w:rFonts w:ascii="Wingdings" w:hAnsi="Wingdings" w:hint="default"/>
      </w:rPr>
    </w:lvl>
  </w:abstractNum>
  <w:abstractNum w:abstractNumId="9" w15:restartNumberingAfterBreak="0">
    <w:nsid w:val="18ED732E"/>
    <w:multiLevelType w:val="hybridMultilevel"/>
    <w:tmpl w:val="DF009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5408EE"/>
    <w:multiLevelType w:val="hybridMultilevel"/>
    <w:tmpl w:val="6ECA9306"/>
    <w:lvl w:ilvl="0" w:tplc="4AA89820">
      <w:start w:val="1"/>
      <w:numFmt w:val="bullet"/>
      <w:lvlText w:val=""/>
      <w:lvlJc w:val="left"/>
      <w:pPr>
        <w:ind w:left="720" w:hanging="360"/>
      </w:pPr>
      <w:rPr>
        <w:rFonts w:ascii="Symbol" w:hAnsi="Symbol" w:hint="default"/>
        <w:color w:val="F28F40"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4E1868"/>
    <w:multiLevelType w:val="hybridMultilevel"/>
    <w:tmpl w:val="0E66BD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895F46"/>
    <w:multiLevelType w:val="hybridMultilevel"/>
    <w:tmpl w:val="9CD2D32A"/>
    <w:lvl w:ilvl="0" w:tplc="041D0017">
      <w:start w:val="1"/>
      <w:numFmt w:val="lowerLetter"/>
      <w:lvlText w:val="%1)"/>
      <w:lvlJc w:val="left"/>
      <w:pPr>
        <w:ind w:left="1800" w:hanging="360"/>
      </w:pPr>
    </w:lvl>
    <w:lvl w:ilvl="1" w:tplc="041D0019" w:tentative="1">
      <w:start w:val="1"/>
      <w:numFmt w:val="lowerLetter"/>
      <w:lvlText w:val="%2."/>
      <w:lvlJc w:val="left"/>
      <w:pPr>
        <w:ind w:left="2520" w:hanging="360"/>
      </w:pPr>
    </w:lvl>
    <w:lvl w:ilvl="2" w:tplc="041D001B" w:tentative="1">
      <w:start w:val="1"/>
      <w:numFmt w:val="lowerRoman"/>
      <w:lvlText w:val="%3."/>
      <w:lvlJc w:val="right"/>
      <w:pPr>
        <w:ind w:left="3240" w:hanging="180"/>
      </w:pPr>
    </w:lvl>
    <w:lvl w:ilvl="3" w:tplc="041D000F" w:tentative="1">
      <w:start w:val="1"/>
      <w:numFmt w:val="decimal"/>
      <w:lvlText w:val="%4."/>
      <w:lvlJc w:val="left"/>
      <w:pPr>
        <w:ind w:left="3960" w:hanging="360"/>
      </w:pPr>
    </w:lvl>
    <w:lvl w:ilvl="4" w:tplc="041D0019" w:tentative="1">
      <w:start w:val="1"/>
      <w:numFmt w:val="lowerLetter"/>
      <w:lvlText w:val="%5."/>
      <w:lvlJc w:val="left"/>
      <w:pPr>
        <w:ind w:left="4680" w:hanging="360"/>
      </w:pPr>
    </w:lvl>
    <w:lvl w:ilvl="5" w:tplc="041D001B" w:tentative="1">
      <w:start w:val="1"/>
      <w:numFmt w:val="lowerRoman"/>
      <w:lvlText w:val="%6."/>
      <w:lvlJc w:val="right"/>
      <w:pPr>
        <w:ind w:left="5400" w:hanging="180"/>
      </w:pPr>
    </w:lvl>
    <w:lvl w:ilvl="6" w:tplc="041D000F" w:tentative="1">
      <w:start w:val="1"/>
      <w:numFmt w:val="decimal"/>
      <w:lvlText w:val="%7."/>
      <w:lvlJc w:val="left"/>
      <w:pPr>
        <w:ind w:left="6120" w:hanging="360"/>
      </w:pPr>
    </w:lvl>
    <w:lvl w:ilvl="7" w:tplc="041D0019" w:tentative="1">
      <w:start w:val="1"/>
      <w:numFmt w:val="lowerLetter"/>
      <w:lvlText w:val="%8."/>
      <w:lvlJc w:val="left"/>
      <w:pPr>
        <w:ind w:left="6840" w:hanging="360"/>
      </w:pPr>
    </w:lvl>
    <w:lvl w:ilvl="8" w:tplc="041D001B" w:tentative="1">
      <w:start w:val="1"/>
      <w:numFmt w:val="lowerRoman"/>
      <w:lvlText w:val="%9."/>
      <w:lvlJc w:val="right"/>
      <w:pPr>
        <w:ind w:left="7560" w:hanging="180"/>
      </w:pPr>
    </w:lvl>
  </w:abstractNum>
  <w:abstractNum w:abstractNumId="13" w15:restartNumberingAfterBreak="0">
    <w:nsid w:val="27A22800"/>
    <w:multiLevelType w:val="hybridMultilevel"/>
    <w:tmpl w:val="E73C8D46"/>
    <w:lvl w:ilvl="0" w:tplc="6FDE0542">
      <w:start w:val="2"/>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B5C1AF4"/>
    <w:multiLevelType w:val="multilevel"/>
    <w:tmpl w:val="33EA0D5A"/>
    <w:lvl w:ilvl="0">
      <w:start w:val="1"/>
      <w:numFmt w:val="bullet"/>
      <w:lvlText w:val=""/>
      <w:lvlPicBulletId w:val="0"/>
      <w:lvlJc w:val="left"/>
      <w:pPr>
        <w:ind w:left="720" w:hanging="360"/>
      </w:pPr>
      <w:rPr>
        <w:rFonts w:ascii="Symbol" w:hAnsi="Symbol" w:hint="default"/>
        <w:color w:val="auto"/>
      </w:rPr>
    </w:lvl>
    <w:lvl w:ilvl="1">
      <w:start w:val="1"/>
      <w:numFmt w:val="bullet"/>
      <w:lvlText w:val=""/>
      <w:lvlPicBulletId w:val="0"/>
      <w:lvlJc w:val="left"/>
      <w:pPr>
        <w:ind w:left="624" w:hanging="34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09214B8"/>
    <w:multiLevelType w:val="hybridMultilevel"/>
    <w:tmpl w:val="243EE7E6"/>
    <w:lvl w:ilvl="0" w:tplc="4064BE7E">
      <w:start w:val="3"/>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32A94DE5"/>
    <w:multiLevelType w:val="hybridMultilevel"/>
    <w:tmpl w:val="1D9EA21A"/>
    <w:lvl w:ilvl="0" w:tplc="041D0017">
      <w:start w:val="1"/>
      <w:numFmt w:val="lowerLetter"/>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17" w15:restartNumberingAfterBreak="0">
    <w:nsid w:val="39180D2F"/>
    <w:multiLevelType w:val="hybridMultilevel"/>
    <w:tmpl w:val="824E8634"/>
    <w:lvl w:ilvl="0" w:tplc="59CA33B4">
      <w:start w:val="1"/>
      <w:numFmt w:val="decimal"/>
      <w:pStyle w:val="Numberedlist"/>
      <w:lvlText w:val="%1."/>
      <w:lvlJc w:val="left"/>
      <w:pPr>
        <w:ind w:left="360" w:hanging="360"/>
      </w:pPr>
      <w:rPr>
        <w:rFonts w:hint="default"/>
        <w:color w:val="F28F40" w:themeColor="accent2"/>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18" w15:restartNumberingAfterBreak="0">
    <w:nsid w:val="3C46034B"/>
    <w:multiLevelType w:val="multilevel"/>
    <w:tmpl w:val="28EC57B2"/>
    <w:lvl w:ilvl="0">
      <w:start w:val="1"/>
      <w:numFmt w:val="decimal"/>
      <w:lvlText w:val="%1."/>
      <w:lvlJc w:val="left"/>
      <w:pPr>
        <w:ind w:left="360" w:hanging="360"/>
      </w:pPr>
      <w:rPr>
        <w:rFonts w:hint="default"/>
        <w:color w:val="F28F40" w:themeColor="accent2"/>
      </w:rPr>
    </w:lvl>
    <w:lvl w:ilvl="1">
      <w:start w:val="1"/>
      <w:numFmt w:val="decimal"/>
      <w:lvlText w:val="%1.%2."/>
      <w:lvlJc w:val="left"/>
      <w:pPr>
        <w:ind w:left="792" w:hanging="432"/>
      </w:pPr>
      <w:rPr>
        <w:rFonts w:hint="default"/>
        <w:color w:val="F28F40" w:themeColor="accent2"/>
      </w:rPr>
    </w:lvl>
    <w:lvl w:ilvl="2">
      <w:start w:val="1"/>
      <w:numFmt w:val="decimal"/>
      <w:lvlText w:val="%1.%2.%3."/>
      <w:lvlJc w:val="left"/>
      <w:pPr>
        <w:ind w:left="1224" w:hanging="504"/>
      </w:pPr>
      <w:rPr>
        <w:rFonts w:hint="default"/>
        <w:color w:val="F28F40" w:themeColor="accent2"/>
      </w:rPr>
    </w:lvl>
    <w:lvl w:ilvl="3">
      <w:start w:val="1"/>
      <w:numFmt w:val="decimal"/>
      <w:lvlText w:val="%1.%2.%3.%4."/>
      <w:lvlJc w:val="left"/>
      <w:pPr>
        <w:ind w:left="1728" w:hanging="648"/>
      </w:pPr>
      <w:rPr>
        <w:rFonts w:hint="default"/>
        <w:color w:val="F28F40" w:themeColor="accent2"/>
      </w:rPr>
    </w:lvl>
    <w:lvl w:ilvl="4">
      <w:start w:val="1"/>
      <w:numFmt w:val="decimal"/>
      <w:lvlText w:val="%1.%2.%3.%4.%5."/>
      <w:lvlJc w:val="left"/>
      <w:pPr>
        <w:ind w:left="2232" w:hanging="792"/>
      </w:pPr>
      <w:rPr>
        <w:rFonts w:hint="default"/>
        <w:color w:val="F28F40" w:themeColor="accent2"/>
      </w:rPr>
    </w:lvl>
    <w:lvl w:ilvl="5">
      <w:start w:val="1"/>
      <w:numFmt w:val="decimal"/>
      <w:lvlText w:val="%1.%2.%3.%4.%5.%6."/>
      <w:lvlJc w:val="left"/>
      <w:pPr>
        <w:ind w:left="2736" w:hanging="936"/>
      </w:pPr>
      <w:rPr>
        <w:rFonts w:hint="default"/>
        <w:color w:val="F28F40" w:themeColor="accent2"/>
      </w:rPr>
    </w:lvl>
    <w:lvl w:ilvl="6">
      <w:start w:val="1"/>
      <w:numFmt w:val="decimal"/>
      <w:lvlText w:val="%1.%2.%3.%4.%5.%6.%7."/>
      <w:lvlJc w:val="left"/>
      <w:pPr>
        <w:ind w:left="3240" w:hanging="1080"/>
      </w:pPr>
      <w:rPr>
        <w:rFonts w:hint="default"/>
        <w:color w:val="F28F40" w:themeColor="accent2"/>
      </w:rPr>
    </w:lvl>
    <w:lvl w:ilvl="7">
      <w:start w:val="1"/>
      <w:numFmt w:val="decimal"/>
      <w:lvlText w:val="%1.%2.%3.%4.%5.%6.%7.%8."/>
      <w:lvlJc w:val="left"/>
      <w:pPr>
        <w:ind w:left="3744" w:hanging="1224"/>
      </w:pPr>
      <w:rPr>
        <w:rFonts w:hint="default"/>
        <w:color w:val="F28F40" w:themeColor="accent2"/>
      </w:rPr>
    </w:lvl>
    <w:lvl w:ilvl="8">
      <w:start w:val="1"/>
      <w:numFmt w:val="decimal"/>
      <w:lvlText w:val="%1.%2.%3.%4.%5.%6.%7.%8.%9."/>
      <w:lvlJc w:val="left"/>
      <w:pPr>
        <w:ind w:left="4320" w:hanging="1440"/>
      </w:pPr>
      <w:rPr>
        <w:rFonts w:hint="default"/>
        <w:color w:val="F28F40" w:themeColor="accent2"/>
      </w:rPr>
    </w:lvl>
  </w:abstractNum>
  <w:abstractNum w:abstractNumId="19" w15:restartNumberingAfterBreak="0">
    <w:nsid w:val="414114F9"/>
    <w:multiLevelType w:val="multilevel"/>
    <w:tmpl w:val="28EC57B2"/>
    <w:lvl w:ilvl="0">
      <w:start w:val="1"/>
      <w:numFmt w:val="decimal"/>
      <w:lvlText w:val="%1."/>
      <w:lvlJc w:val="left"/>
      <w:pPr>
        <w:ind w:left="360" w:hanging="360"/>
      </w:pPr>
      <w:rPr>
        <w:rFonts w:hint="default"/>
        <w:color w:val="F28F40" w:themeColor="accent2"/>
      </w:rPr>
    </w:lvl>
    <w:lvl w:ilvl="1">
      <w:start w:val="1"/>
      <w:numFmt w:val="decimal"/>
      <w:lvlText w:val="%1.%2."/>
      <w:lvlJc w:val="left"/>
      <w:pPr>
        <w:ind w:left="792" w:hanging="432"/>
      </w:pPr>
      <w:rPr>
        <w:rFonts w:hint="default"/>
        <w:color w:val="F28F40" w:themeColor="accent2"/>
      </w:rPr>
    </w:lvl>
    <w:lvl w:ilvl="2">
      <w:start w:val="1"/>
      <w:numFmt w:val="decimal"/>
      <w:lvlText w:val="%1.%2.%3."/>
      <w:lvlJc w:val="left"/>
      <w:pPr>
        <w:ind w:left="1224" w:hanging="504"/>
      </w:pPr>
      <w:rPr>
        <w:rFonts w:hint="default"/>
        <w:color w:val="F28F40" w:themeColor="accent2"/>
      </w:rPr>
    </w:lvl>
    <w:lvl w:ilvl="3">
      <w:start w:val="1"/>
      <w:numFmt w:val="decimal"/>
      <w:lvlText w:val="%1.%2.%3.%4."/>
      <w:lvlJc w:val="left"/>
      <w:pPr>
        <w:ind w:left="1728" w:hanging="648"/>
      </w:pPr>
      <w:rPr>
        <w:rFonts w:hint="default"/>
        <w:color w:val="F28F40" w:themeColor="accent2"/>
      </w:rPr>
    </w:lvl>
    <w:lvl w:ilvl="4">
      <w:start w:val="1"/>
      <w:numFmt w:val="decimal"/>
      <w:lvlText w:val="%1.%2.%3.%4.%5."/>
      <w:lvlJc w:val="left"/>
      <w:pPr>
        <w:ind w:left="2232" w:hanging="792"/>
      </w:pPr>
      <w:rPr>
        <w:rFonts w:hint="default"/>
        <w:color w:val="F28F40" w:themeColor="accent2"/>
      </w:rPr>
    </w:lvl>
    <w:lvl w:ilvl="5">
      <w:start w:val="1"/>
      <w:numFmt w:val="decimal"/>
      <w:lvlText w:val="%1.%2.%3.%4.%5.%6."/>
      <w:lvlJc w:val="left"/>
      <w:pPr>
        <w:ind w:left="2736" w:hanging="936"/>
      </w:pPr>
      <w:rPr>
        <w:rFonts w:hint="default"/>
        <w:color w:val="F28F40" w:themeColor="accent2"/>
      </w:rPr>
    </w:lvl>
    <w:lvl w:ilvl="6">
      <w:start w:val="1"/>
      <w:numFmt w:val="decimal"/>
      <w:lvlText w:val="%1.%2.%3.%4.%5.%6.%7."/>
      <w:lvlJc w:val="left"/>
      <w:pPr>
        <w:ind w:left="3240" w:hanging="1080"/>
      </w:pPr>
      <w:rPr>
        <w:rFonts w:hint="default"/>
        <w:color w:val="F28F40" w:themeColor="accent2"/>
      </w:rPr>
    </w:lvl>
    <w:lvl w:ilvl="7">
      <w:start w:val="1"/>
      <w:numFmt w:val="decimal"/>
      <w:lvlText w:val="%1.%2.%3.%4.%5.%6.%7.%8."/>
      <w:lvlJc w:val="left"/>
      <w:pPr>
        <w:ind w:left="3744" w:hanging="1224"/>
      </w:pPr>
      <w:rPr>
        <w:rFonts w:hint="default"/>
        <w:color w:val="F28F40" w:themeColor="accent2"/>
      </w:rPr>
    </w:lvl>
    <w:lvl w:ilvl="8">
      <w:start w:val="1"/>
      <w:numFmt w:val="decimal"/>
      <w:lvlText w:val="%1.%2.%3.%4.%5.%6.%7.%8.%9."/>
      <w:lvlJc w:val="left"/>
      <w:pPr>
        <w:ind w:left="4320" w:hanging="1440"/>
      </w:pPr>
      <w:rPr>
        <w:rFonts w:hint="default"/>
        <w:color w:val="F28F40" w:themeColor="accent2"/>
      </w:rPr>
    </w:lvl>
  </w:abstractNum>
  <w:abstractNum w:abstractNumId="20" w15:restartNumberingAfterBreak="0">
    <w:nsid w:val="42382FCE"/>
    <w:multiLevelType w:val="multilevel"/>
    <w:tmpl w:val="28EC57B2"/>
    <w:lvl w:ilvl="0">
      <w:start w:val="1"/>
      <w:numFmt w:val="decimal"/>
      <w:lvlText w:val="%1."/>
      <w:lvlJc w:val="left"/>
      <w:pPr>
        <w:ind w:left="360" w:hanging="360"/>
      </w:pPr>
      <w:rPr>
        <w:rFonts w:hint="default"/>
        <w:color w:val="F28F40" w:themeColor="accent2"/>
      </w:rPr>
    </w:lvl>
    <w:lvl w:ilvl="1">
      <w:start w:val="1"/>
      <w:numFmt w:val="decimal"/>
      <w:lvlText w:val="%1.%2."/>
      <w:lvlJc w:val="left"/>
      <w:pPr>
        <w:ind w:left="792" w:hanging="432"/>
      </w:pPr>
      <w:rPr>
        <w:rFonts w:hint="default"/>
        <w:color w:val="F28F40" w:themeColor="accent2"/>
      </w:rPr>
    </w:lvl>
    <w:lvl w:ilvl="2">
      <w:start w:val="1"/>
      <w:numFmt w:val="decimal"/>
      <w:lvlText w:val="%1.%2.%3."/>
      <w:lvlJc w:val="left"/>
      <w:pPr>
        <w:ind w:left="1224" w:hanging="504"/>
      </w:pPr>
      <w:rPr>
        <w:rFonts w:hint="default"/>
        <w:color w:val="F28F40" w:themeColor="accent2"/>
      </w:rPr>
    </w:lvl>
    <w:lvl w:ilvl="3">
      <w:start w:val="1"/>
      <w:numFmt w:val="decimal"/>
      <w:lvlText w:val="%1.%2.%3.%4."/>
      <w:lvlJc w:val="left"/>
      <w:pPr>
        <w:ind w:left="1728" w:hanging="648"/>
      </w:pPr>
      <w:rPr>
        <w:rFonts w:hint="default"/>
        <w:color w:val="F28F40" w:themeColor="accent2"/>
      </w:rPr>
    </w:lvl>
    <w:lvl w:ilvl="4">
      <w:start w:val="1"/>
      <w:numFmt w:val="decimal"/>
      <w:lvlText w:val="%1.%2.%3.%4.%5."/>
      <w:lvlJc w:val="left"/>
      <w:pPr>
        <w:ind w:left="2232" w:hanging="792"/>
      </w:pPr>
      <w:rPr>
        <w:rFonts w:hint="default"/>
        <w:color w:val="F28F40" w:themeColor="accent2"/>
      </w:rPr>
    </w:lvl>
    <w:lvl w:ilvl="5">
      <w:start w:val="1"/>
      <w:numFmt w:val="decimal"/>
      <w:lvlText w:val="%1.%2.%3.%4.%5.%6."/>
      <w:lvlJc w:val="left"/>
      <w:pPr>
        <w:ind w:left="2736" w:hanging="936"/>
      </w:pPr>
      <w:rPr>
        <w:rFonts w:hint="default"/>
        <w:color w:val="F28F40" w:themeColor="accent2"/>
      </w:rPr>
    </w:lvl>
    <w:lvl w:ilvl="6">
      <w:start w:val="1"/>
      <w:numFmt w:val="decimal"/>
      <w:lvlText w:val="%1.%2.%3.%4.%5.%6.%7."/>
      <w:lvlJc w:val="left"/>
      <w:pPr>
        <w:ind w:left="3240" w:hanging="1080"/>
      </w:pPr>
      <w:rPr>
        <w:rFonts w:hint="default"/>
        <w:color w:val="F28F40" w:themeColor="accent2"/>
      </w:rPr>
    </w:lvl>
    <w:lvl w:ilvl="7">
      <w:start w:val="1"/>
      <w:numFmt w:val="decimal"/>
      <w:lvlText w:val="%1.%2.%3.%4.%5.%6.%7.%8."/>
      <w:lvlJc w:val="left"/>
      <w:pPr>
        <w:ind w:left="3744" w:hanging="1224"/>
      </w:pPr>
      <w:rPr>
        <w:rFonts w:hint="default"/>
        <w:color w:val="F28F40" w:themeColor="accent2"/>
      </w:rPr>
    </w:lvl>
    <w:lvl w:ilvl="8">
      <w:start w:val="1"/>
      <w:numFmt w:val="decimal"/>
      <w:lvlText w:val="%1.%2.%3.%4.%5.%6.%7.%8.%9."/>
      <w:lvlJc w:val="left"/>
      <w:pPr>
        <w:ind w:left="4320" w:hanging="1440"/>
      </w:pPr>
      <w:rPr>
        <w:rFonts w:hint="default"/>
        <w:color w:val="F28F40" w:themeColor="accent2"/>
      </w:rPr>
    </w:lvl>
  </w:abstractNum>
  <w:abstractNum w:abstractNumId="21" w15:restartNumberingAfterBreak="0">
    <w:nsid w:val="49F44E54"/>
    <w:multiLevelType w:val="hybridMultilevel"/>
    <w:tmpl w:val="C7C2F9E2"/>
    <w:lvl w:ilvl="0" w:tplc="EE4C73D2">
      <w:start w:val="1"/>
      <w:numFmt w:val="decimal"/>
      <w:lvlText w:val="%1."/>
      <w:lvlJc w:val="left"/>
      <w:pPr>
        <w:tabs>
          <w:tab w:val="num" w:pos="1134"/>
        </w:tabs>
        <w:ind w:left="1134" w:hanging="567"/>
      </w:pPr>
      <w:rPr>
        <w:i w:val="0"/>
        <w:sz w:val="22"/>
        <w:szCs w:val="22"/>
      </w:rPr>
    </w:lvl>
    <w:lvl w:ilvl="1" w:tplc="516E4B78">
      <w:start w:val="1"/>
      <w:numFmt w:val="lowerLetter"/>
      <w:lvlText w:val="%2)"/>
      <w:lvlJc w:val="left"/>
      <w:pPr>
        <w:tabs>
          <w:tab w:val="num" w:pos="1440"/>
        </w:tabs>
        <w:ind w:left="1440" w:hanging="360"/>
      </w:pPr>
      <w:rPr>
        <w:rFonts w:hint="default"/>
        <w:i w:val="0"/>
      </w:rPr>
    </w:lvl>
    <w:lvl w:ilvl="2" w:tplc="B96E4A5A">
      <w:start w:val="1"/>
      <w:numFmt w:val="decimal"/>
      <w:lvlText w:val="%3."/>
      <w:lvlJc w:val="left"/>
      <w:pPr>
        <w:tabs>
          <w:tab w:val="num" w:pos="2160"/>
        </w:tabs>
        <w:ind w:left="2160" w:hanging="360"/>
      </w:pPr>
    </w:lvl>
    <w:lvl w:ilvl="3" w:tplc="B0A2B4D8">
      <w:start w:val="1"/>
      <w:numFmt w:val="decimal"/>
      <w:lvlText w:val="%4."/>
      <w:lvlJc w:val="left"/>
      <w:pPr>
        <w:tabs>
          <w:tab w:val="num" w:pos="2880"/>
        </w:tabs>
        <w:ind w:left="2880" w:hanging="360"/>
      </w:pPr>
    </w:lvl>
    <w:lvl w:ilvl="4" w:tplc="4726E1CC">
      <w:start w:val="1"/>
      <w:numFmt w:val="decimal"/>
      <w:lvlText w:val="%5."/>
      <w:lvlJc w:val="left"/>
      <w:pPr>
        <w:tabs>
          <w:tab w:val="num" w:pos="3600"/>
        </w:tabs>
        <w:ind w:left="3600" w:hanging="360"/>
      </w:pPr>
    </w:lvl>
    <w:lvl w:ilvl="5" w:tplc="D1B24A00">
      <w:start w:val="1"/>
      <w:numFmt w:val="decimal"/>
      <w:lvlText w:val="%6."/>
      <w:lvlJc w:val="left"/>
      <w:pPr>
        <w:tabs>
          <w:tab w:val="num" w:pos="4320"/>
        </w:tabs>
        <w:ind w:left="4320" w:hanging="360"/>
      </w:pPr>
    </w:lvl>
    <w:lvl w:ilvl="6" w:tplc="479C7E44">
      <w:start w:val="1"/>
      <w:numFmt w:val="decimal"/>
      <w:lvlText w:val="%7."/>
      <w:lvlJc w:val="left"/>
      <w:pPr>
        <w:tabs>
          <w:tab w:val="num" w:pos="5040"/>
        </w:tabs>
        <w:ind w:left="5040" w:hanging="360"/>
      </w:pPr>
    </w:lvl>
    <w:lvl w:ilvl="7" w:tplc="587CE3C6">
      <w:start w:val="1"/>
      <w:numFmt w:val="decimal"/>
      <w:lvlText w:val="%8."/>
      <w:lvlJc w:val="left"/>
      <w:pPr>
        <w:tabs>
          <w:tab w:val="num" w:pos="5760"/>
        </w:tabs>
        <w:ind w:left="5760" w:hanging="360"/>
      </w:pPr>
    </w:lvl>
    <w:lvl w:ilvl="8" w:tplc="A2FC4254">
      <w:start w:val="1"/>
      <w:numFmt w:val="decimal"/>
      <w:lvlText w:val="%9."/>
      <w:lvlJc w:val="left"/>
      <w:pPr>
        <w:tabs>
          <w:tab w:val="num" w:pos="6480"/>
        </w:tabs>
        <w:ind w:left="6480" w:hanging="360"/>
      </w:pPr>
    </w:lvl>
  </w:abstractNum>
  <w:abstractNum w:abstractNumId="22" w15:restartNumberingAfterBreak="0">
    <w:nsid w:val="4ABA1941"/>
    <w:multiLevelType w:val="hybridMultilevel"/>
    <w:tmpl w:val="264813CC"/>
    <w:lvl w:ilvl="0" w:tplc="A9B03F88">
      <w:start w:val="4"/>
      <w:numFmt w:val="upperLetter"/>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4B2A5879"/>
    <w:multiLevelType w:val="hybridMultilevel"/>
    <w:tmpl w:val="A5DC8CB8"/>
    <w:lvl w:ilvl="0" w:tplc="041D0017">
      <w:start w:val="1"/>
      <w:numFmt w:val="lowerLetter"/>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24" w15:restartNumberingAfterBreak="0">
    <w:nsid w:val="4D5338E9"/>
    <w:multiLevelType w:val="hybridMultilevel"/>
    <w:tmpl w:val="8482EF5A"/>
    <w:lvl w:ilvl="0" w:tplc="698E048C">
      <w:start w:val="1"/>
      <w:numFmt w:val="bullet"/>
      <w:pStyle w:val="ListParagraph"/>
      <w:lvlText w:val=""/>
      <w:lvlJc w:val="left"/>
      <w:pPr>
        <w:ind w:left="1440" w:hanging="360"/>
      </w:pPr>
      <w:rPr>
        <w:rFonts w:ascii="Symbol" w:hAnsi="Symbol" w:hint="default"/>
        <w:color w:val="F28F40" w:themeColor="accent2"/>
      </w:rPr>
    </w:lvl>
    <w:lvl w:ilvl="1" w:tplc="ADCCD892">
      <w:start w:val="1"/>
      <w:numFmt w:val="bullet"/>
      <w:lvlText w:val="o"/>
      <w:lvlJc w:val="left"/>
      <w:pPr>
        <w:ind w:left="2160" w:hanging="360"/>
      </w:pPr>
      <w:rPr>
        <w:rFonts w:ascii="Courier New" w:hAnsi="Courier New" w:cs="Courier New" w:hint="default"/>
      </w:rPr>
    </w:lvl>
    <w:lvl w:ilvl="2" w:tplc="0380A65A">
      <w:start w:val="1"/>
      <w:numFmt w:val="bullet"/>
      <w:lvlText w:val=""/>
      <w:lvlJc w:val="left"/>
      <w:pPr>
        <w:ind w:left="2880" w:hanging="360"/>
      </w:pPr>
      <w:rPr>
        <w:rFonts w:ascii="Wingdings" w:hAnsi="Wingdings" w:hint="default"/>
      </w:rPr>
    </w:lvl>
    <w:lvl w:ilvl="3" w:tplc="64B62DB8">
      <w:start w:val="1"/>
      <w:numFmt w:val="bullet"/>
      <w:lvlText w:val=""/>
      <w:lvlJc w:val="left"/>
      <w:pPr>
        <w:ind w:left="3600" w:hanging="360"/>
      </w:pPr>
      <w:rPr>
        <w:rFonts w:ascii="Symbol" w:hAnsi="Symbol" w:hint="default"/>
      </w:rPr>
    </w:lvl>
    <w:lvl w:ilvl="4" w:tplc="6C60297A" w:tentative="1">
      <w:start w:val="1"/>
      <w:numFmt w:val="bullet"/>
      <w:lvlText w:val="o"/>
      <w:lvlJc w:val="left"/>
      <w:pPr>
        <w:ind w:left="4320" w:hanging="360"/>
      </w:pPr>
      <w:rPr>
        <w:rFonts w:ascii="Courier New" w:hAnsi="Courier New" w:cs="Courier New" w:hint="default"/>
      </w:rPr>
    </w:lvl>
    <w:lvl w:ilvl="5" w:tplc="BBFE78E2" w:tentative="1">
      <w:start w:val="1"/>
      <w:numFmt w:val="bullet"/>
      <w:lvlText w:val=""/>
      <w:lvlJc w:val="left"/>
      <w:pPr>
        <w:ind w:left="5040" w:hanging="360"/>
      </w:pPr>
      <w:rPr>
        <w:rFonts w:ascii="Wingdings" w:hAnsi="Wingdings" w:hint="default"/>
      </w:rPr>
    </w:lvl>
    <w:lvl w:ilvl="6" w:tplc="0AF82AE4" w:tentative="1">
      <w:start w:val="1"/>
      <w:numFmt w:val="bullet"/>
      <w:lvlText w:val=""/>
      <w:lvlJc w:val="left"/>
      <w:pPr>
        <w:ind w:left="5760" w:hanging="360"/>
      </w:pPr>
      <w:rPr>
        <w:rFonts w:ascii="Symbol" w:hAnsi="Symbol" w:hint="default"/>
      </w:rPr>
    </w:lvl>
    <w:lvl w:ilvl="7" w:tplc="E5FC9F3C" w:tentative="1">
      <w:start w:val="1"/>
      <w:numFmt w:val="bullet"/>
      <w:lvlText w:val="o"/>
      <w:lvlJc w:val="left"/>
      <w:pPr>
        <w:ind w:left="6480" w:hanging="360"/>
      </w:pPr>
      <w:rPr>
        <w:rFonts w:ascii="Courier New" w:hAnsi="Courier New" w:cs="Courier New" w:hint="default"/>
      </w:rPr>
    </w:lvl>
    <w:lvl w:ilvl="8" w:tplc="455412F8" w:tentative="1">
      <w:start w:val="1"/>
      <w:numFmt w:val="bullet"/>
      <w:lvlText w:val=""/>
      <w:lvlJc w:val="left"/>
      <w:pPr>
        <w:ind w:left="7200" w:hanging="360"/>
      </w:pPr>
      <w:rPr>
        <w:rFonts w:ascii="Wingdings" w:hAnsi="Wingdings" w:hint="default"/>
      </w:rPr>
    </w:lvl>
  </w:abstractNum>
  <w:abstractNum w:abstractNumId="25" w15:restartNumberingAfterBreak="0">
    <w:nsid w:val="4E8B00A3"/>
    <w:multiLevelType w:val="hybridMultilevel"/>
    <w:tmpl w:val="36AA7420"/>
    <w:lvl w:ilvl="0" w:tplc="041D0017">
      <w:start w:val="1"/>
      <w:numFmt w:val="lowerLetter"/>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26" w15:restartNumberingAfterBreak="0">
    <w:nsid w:val="50AB7458"/>
    <w:multiLevelType w:val="hybridMultilevel"/>
    <w:tmpl w:val="36AA742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 w15:restartNumberingAfterBreak="0">
    <w:nsid w:val="5A506FF8"/>
    <w:multiLevelType w:val="hybridMultilevel"/>
    <w:tmpl w:val="BD5A9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5E7177"/>
    <w:multiLevelType w:val="hybridMultilevel"/>
    <w:tmpl w:val="48AA0FB4"/>
    <w:lvl w:ilvl="0" w:tplc="9FB456CC">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63590A74"/>
    <w:multiLevelType w:val="hybridMultilevel"/>
    <w:tmpl w:val="4588C11E"/>
    <w:lvl w:ilvl="0" w:tplc="59684EC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7F231D"/>
    <w:multiLevelType w:val="hybridMultilevel"/>
    <w:tmpl w:val="8FFEAA52"/>
    <w:lvl w:ilvl="0" w:tplc="0809000F">
      <w:start w:val="1"/>
      <w:numFmt w:val="decimal"/>
      <w:lvlText w:val="%1."/>
      <w:lvlJc w:val="left"/>
      <w:pPr>
        <w:ind w:left="1440" w:hanging="360"/>
      </w:pPr>
      <w:rPr>
        <w:rFonts w:hint="default"/>
        <w:color w:val="F28F40" w:themeColor="accent2"/>
      </w:rPr>
    </w:lvl>
    <w:lvl w:ilvl="1" w:tplc="ADCCD892">
      <w:start w:val="1"/>
      <w:numFmt w:val="bullet"/>
      <w:lvlText w:val="o"/>
      <w:lvlJc w:val="left"/>
      <w:pPr>
        <w:ind w:left="2160" w:hanging="360"/>
      </w:pPr>
      <w:rPr>
        <w:rFonts w:ascii="Courier New" w:hAnsi="Courier New" w:cs="Courier New" w:hint="default"/>
      </w:rPr>
    </w:lvl>
    <w:lvl w:ilvl="2" w:tplc="0380A65A">
      <w:start w:val="1"/>
      <w:numFmt w:val="bullet"/>
      <w:lvlText w:val=""/>
      <w:lvlJc w:val="left"/>
      <w:pPr>
        <w:ind w:left="2880" w:hanging="360"/>
      </w:pPr>
      <w:rPr>
        <w:rFonts w:ascii="Wingdings" w:hAnsi="Wingdings" w:hint="default"/>
      </w:rPr>
    </w:lvl>
    <w:lvl w:ilvl="3" w:tplc="64B62DB8">
      <w:start w:val="1"/>
      <w:numFmt w:val="bullet"/>
      <w:lvlText w:val=""/>
      <w:lvlJc w:val="left"/>
      <w:pPr>
        <w:ind w:left="3600" w:hanging="360"/>
      </w:pPr>
      <w:rPr>
        <w:rFonts w:ascii="Symbol" w:hAnsi="Symbol" w:hint="default"/>
      </w:rPr>
    </w:lvl>
    <w:lvl w:ilvl="4" w:tplc="6C60297A" w:tentative="1">
      <w:start w:val="1"/>
      <w:numFmt w:val="bullet"/>
      <w:lvlText w:val="o"/>
      <w:lvlJc w:val="left"/>
      <w:pPr>
        <w:ind w:left="4320" w:hanging="360"/>
      </w:pPr>
      <w:rPr>
        <w:rFonts w:ascii="Courier New" w:hAnsi="Courier New" w:cs="Courier New" w:hint="default"/>
      </w:rPr>
    </w:lvl>
    <w:lvl w:ilvl="5" w:tplc="BBFE78E2" w:tentative="1">
      <w:start w:val="1"/>
      <w:numFmt w:val="bullet"/>
      <w:lvlText w:val=""/>
      <w:lvlJc w:val="left"/>
      <w:pPr>
        <w:ind w:left="5040" w:hanging="360"/>
      </w:pPr>
      <w:rPr>
        <w:rFonts w:ascii="Wingdings" w:hAnsi="Wingdings" w:hint="default"/>
      </w:rPr>
    </w:lvl>
    <w:lvl w:ilvl="6" w:tplc="0AF82AE4" w:tentative="1">
      <w:start w:val="1"/>
      <w:numFmt w:val="bullet"/>
      <w:lvlText w:val=""/>
      <w:lvlJc w:val="left"/>
      <w:pPr>
        <w:ind w:left="5760" w:hanging="360"/>
      </w:pPr>
      <w:rPr>
        <w:rFonts w:ascii="Symbol" w:hAnsi="Symbol" w:hint="default"/>
      </w:rPr>
    </w:lvl>
    <w:lvl w:ilvl="7" w:tplc="E5FC9F3C" w:tentative="1">
      <w:start w:val="1"/>
      <w:numFmt w:val="bullet"/>
      <w:lvlText w:val="o"/>
      <w:lvlJc w:val="left"/>
      <w:pPr>
        <w:ind w:left="6480" w:hanging="360"/>
      </w:pPr>
      <w:rPr>
        <w:rFonts w:ascii="Courier New" w:hAnsi="Courier New" w:cs="Courier New" w:hint="default"/>
      </w:rPr>
    </w:lvl>
    <w:lvl w:ilvl="8" w:tplc="455412F8" w:tentative="1">
      <w:start w:val="1"/>
      <w:numFmt w:val="bullet"/>
      <w:lvlText w:val=""/>
      <w:lvlJc w:val="left"/>
      <w:pPr>
        <w:ind w:left="7200" w:hanging="360"/>
      </w:pPr>
      <w:rPr>
        <w:rFonts w:ascii="Wingdings" w:hAnsi="Wingdings" w:hint="default"/>
      </w:rPr>
    </w:lvl>
  </w:abstractNum>
  <w:abstractNum w:abstractNumId="31" w15:restartNumberingAfterBreak="0">
    <w:nsid w:val="650D6A9A"/>
    <w:multiLevelType w:val="multilevel"/>
    <w:tmpl w:val="3BF81580"/>
    <w:lvl w:ilvl="0">
      <w:start w:val="1"/>
      <w:numFmt w:val="bullet"/>
      <w:lvlText w:val=""/>
      <w:lvlJc w:val="left"/>
      <w:pPr>
        <w:ind w:left="360" w:hanging="360"/>
      </w:pPr>
      <w:rPr>
        <w:rFonts w:ascii="Symbol" w:hAnsi="Symbol" w:hint="default"/>
        <w:color w:val="F28F40" w:themeColor="accent2"/>
      </w:rPr>
    </w:lvl>
    <w:lvl w:ilvl="1">
      <w:start w:val="1"/>
      <w:numFmt w:val="bullet"/>
      <w:lvlText w:val=""/>
      <w:lvlJc w:val="left"/>
      <w:pPr>
        <w:ind w:left="720" w:hanging="360"/>
      </w:pPr>
      <w:rPr>
        <w:rFonts w:ascii="Symbol" w:hAnsi="Symbol" w:hint="default"/>
        <w:color w:val="F28F40" w:themeColor="accent2"/>
      </w:rPr>
    </w:lvl>
    <w:lvl w:ilvl="2">
      <w:start w:val="1"/>
      <w:numFmt w:val="bullet"/>
      <w:lvlText w:val=""/>
      <w:lvlJc w:val="left"/>
      <w:pPr>
        <w:ind w:left="1080" w:hanging="360"/>
      </w:pPr>
      <w:rPr>
        <w:rFonts w:ascii="Symbol" w:hAnsi="Symbol" w:hint="default"/>
        <w:color w:val="F28F40" w:themeColor="accent2"/>
      </w:rPr>
    </w:lvl>
    <w:lvl w:ilvl="3">
      <w:start w:val="1"/>
      <w:numFmt w:val="bullet"/>
      <w:lvlText w:val=""/>
      <w:lvlJc w:val="left"/>
      <w:pPr>
        <w:ind w:left="1440" w:hanging="360"/>
      </w:pPr>
      <w:rPr>
        <w:rFonts w:ascii="Symbol" w:hAnsi="Symbol" w:hint="default"/>
        <w:color w:val="F28F40" w:themeColor="accent2"/>
      </w:rPr>
    </w:lvl>
    <w:lvl w:ilvl="4">
      <w:start w:val="1"/>
      <w:numFmt w:val="bullet"/>
      <w:lvlText w:val=""/>
      <w:lvlJc w:val="left"/>
      <w:pPr>
        <w:ind w:left="1800" w:hanging="360"/>
      </w:pPr>
      <w:rPr>
        <w:rFonts w:ascii="Symbol" w:hAnsi="Symbol" w:hint="default"/>
        <w:color w:val="F28F40" w:themeColor="accent2"/>
      </w:rPr>
    </w:lvl>
    <w:lvl w:ilvl="5">
      <w:start w:val="1"/>
      <w:numFmt w:val="bullet"/>
      <w:lvlText w:val=""/>
      <w:lvlJc w:val="left"/>
      <w:pPr>
        <w:ind w:left="2160" w:hanging="360"/>
      </w:pPr>
      <w:rPr>
        <w:rFonts w:ascii="Symbol" w:hAnsi="Symbol" w:hint="default"/>
        <w:color w:val="F28F40" w:themeColor="accent2"/>
      </w:rPr>
    </w:lvl>
    <w:lvl w:ilvl="6">
      <w:start w:val="1"/>
      <w:numFmt w:val="bullet"/>
      <w:lvlText w:val=""/>
      <w:lvlJc w:val="left"/>
      <w:pPr>
        <w:ind w:left="2520" w:hanging="360"/>
      </w:pPr>
      <w:rPr>
        <w:rFonts w:ascii="Symbol" w:hAnsi="Symbol" w:hint="default"/>
        <w:color w:val="F28F40" w:themeColor="accent2"/>
      </w:rPr>
    </w:lvl>
    <w:lvl w:ilvl="7">
      <w:start w:val="1"/>
      <w:numFmt w:val="bullet"/>
      <w:lvlText w:val=""/>
      <w:lvlJc w:val="left"/>
      <w:pPr>
        <w:ind w:left="2880" w:hanging="360"/>
      </w:pPr>
      <w:rPr>
        <w:rFonts w:ascii="Symbol" w:hAnsi="Symbol" w:hint="default"/>
        <w:color w:val="F28F40" w:themeColor="accent2"/>
      </w:rPr>
    </w:lvl>
    <w:lvl w:ilvl="8">
      <w:start w:val="1"/>
      <w:numFmt w:val="bullet"/>
      <w:lvlText w:val=""/>
      <w:lvlJc w:val="left"/>
      <w:pPr>
        <w:ind w:left="3240" w:hanging="360"/>
      </w:pPr>
      <w:rPr>
        <w:rFonts w:ascii="Symbol" w:hAnsi="Symbol" w:hint="default"/>
        <w:color w:val="F28F40" w:themeColor="accent2"/>
      </w:rPr>
    </w:lvl>
  </w:abstractNum>
  <w:abstractNum w:abstractNumId="32" w15:restartNumberingAfterBreak="0">
    <w:nsid w:val="69692A03"/>
    <w:multiLevelType w:val="hybridMultilevel"/>
    <w:tmpl w:val="27D0C21C"/>
    <w:lvl w:ilvl="0" w:tplc="27C4F5C0">
      <w:start w:val="1"/>
      <w:numFmt w:val="decimal"/>
      <w:lvlText w:val="%1."/>
      <w:lvlJc w:val="left"/>
      <w:pPr>
        <w:ind w:left="1080" w:hanging="360"/>
      </w:pPr>
      <w:rPr>
        <w:b w:val="0"/>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33" w15:restartNumberingAfterBreak="0">
    <w:nsid w:val="6A1F6F99"/>
    <w:multiLevelType w:val="hybridMultilevel"/>
    <w:tmpl w:val="2078FA8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6B560075"/>
    <w:multiLevelType w:val="hybridMultilevel"/>
    <w:tmpl w:val="7EB69E76"/>
    <w:lvl w:ilvl="0" w:tplc="81425E86">
      <w:start w:val="5"/>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6DE378A8"/>
    <w:multiLevelType w:val="hybridMultilevel"/>
    <w:tmpl w:val="1E842E06"/>
    <w:lvl w:ilvl="0" w:tplc="9BFC9CE8">
      <w:start w:val="1"/>
      <w:numFmt w:val="upperLetter"/>
      <w:lvlText w:val="%1."/>
      <w:lvlJc w:val="left"/>
      <w:pPr>
        <w:ind w:left="720" w:hanging="360"/>
      </w:pPr>
      <w:rPr>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6E0178A3"/>
    <w:multiLevelType w:val="hybridMultilevel"/>
    <w:tmpl w:val="8D80DBEE"/>
    <w:lvl w:ilvl="0" w:tplc="6BD64F8A">
      <w:start w:val="1"/>
      <w:numFmt w:val="bullet"/>
      <w:lvlText w:val=""/>
      <w:lvlJc w:val="left"/>
      <w:pPr>
        <w:ind w:left="360" w:hanging="360"/>
      </w:pPr>
      <w:rPr>
        <w:rFonts w:ascii="Symbol" w:hAnsi="Symbol" w:hint="default"/>
        <w:color w:val="auto"/>
        <w:spacing w:val="-118"/>
        <w:position w:val="0"/>
      </w:rPr>
    </w:lvl>
    <w:lvl w:ilvl="1" w:tplc="ADCCD892">
      <w:start w:val="1"/>
      <w:numFmt w:val="bullet"/>
      <w:lvlText w:val="o"/>
      <w:lvlJc w:val="left"/>
      <w:pPr>
        <w:ind w:left="1080" w:hanging="360"/>
      </w:pPr>
      <w:rPr>
        <w:rFonts w:ascii="Courier New" w:hAnsi="Courier New" w:cs="Courier New" w:hint="default"/>
      </w:rPr>
    </w:lvl>
    <w:lvl w:ilvl="2" w:tplc="0380A65A">
      <w:start w:val="1"/>
      <w:numFmt w:val="bullet"/>
      <w:lvlText w:val=""/>
      <w:lvlJc w:val="left"/>
      <w:pPr>
        <w:ind w:left="1800" w:hanging="360"/>
      </w:pPr>
      <w:rPr>
        <w:rFonts w:ascii="Wingdings" w:hAnsi="Wingdings" w:hint="default"/>
      </w:rPr>
    </w:lvl>
    <w:lvl w:ilvl="3" w:tplc="64B62DB8">
      <w:start w:val="1"/>
      <w:numFmt w:val="bullet"/>
      <w:lvlText w:val=""/>
      <w:lvlJc w:val="left"/>
      <w:pPr>
        <w:ind w:left="2520" w:hanging="360"/>
      </w:pPr>
      <w:rPr>
        <w:rFonts w:ascii="Symbol" w:hAnsi="Symbol" w:hint="default"/>
      </w:rPr>
    </w:lvl>
    <w:lvl w:ilvl="4" w:tplc="6C60297A" w:tentative="1">
      <w:start w:val="1"/>
      <w:numFmt w:val="bullet"/>
      <w:lvlText w:val="o"/>
      <w:lvlJc w:val="left"/>
      <w:pPr>
        <w:ind w:left="3240" w:hanging="360"/>
      </w:pPr>
      <w:rPr>
        <w:rFonts w:ascii="Courier New" w:hAnsi="Courier New" w:cs="Courier New" w:hint="default"/>
      </w:rPr>
    </w:lvl>
    <w:lvl w:ilvl="5" w:tplc="BBFE78E2" w:tentative="1">
      <w:start w:val="1"/>
      <w:numFmt w:val="bullet"/>
      <w:lvlText w:val=""/>
      <w:lvlJc w:val="left"/>
      <w:pPr>
        <w:ind w:left="3960" w:hanging="360"/>
      </w:pPr>
      <w:rPr>
        <w:rFonts w:ascii="Wingdings" w:hAnsi="Wingdings" w:hint="default"/>
      </w:rPr>
    </w:lvl>
    <w:lvl w:ilvl="6" w:tplc="0AF82AE4" w:tentative="1">
      <w:start w:val="1"/>
      <w:numFmt w:val="bullet"/>
      <w:lvlText w:val=""/>
      <w:lvlJc w:val="left"/>
      <w:pPr>
        <w:ind w:left="4680" w:hanging="360"/>
      </w:pPr>
      <w:rPr>
        <w:rFonts w:ascii="Symbol" w:hAnsi="Symbol" w:hint="default"/>
      </w:rPr>
    </w:lvl>
    <w:lvl w:ilvl="7" w:tplc="E5FC9F3C" w:tentative="1">
      <w:start w:val="1"/>
      <w:numFmt w:val="bullet"/>
      <w:lvlText w:val="o"/>
      <w:lvlJc w:val="left"/>
      <w:pPr>
        <w:ind w:left="5400" w:hanging="360"/>
      </w:pPr>
      <w:rPr>
        <w:rFonts w:ascii="Courier New" w:hAnsi="Courier New" w:cs="Courier New" w:hint="default"/>
      </w:rPr>
    </w:lvl>
    <w:lvl w:ilvl="8" w:tplc="455412F8" w:tentative="1">
      <w:start w:val="1"/>
      <w:numFmt w:val="bullet"/>
      <w:lvlText w:val=""/>
      <w:lvlJc w:val="left"/>
      <w:pPr>
        <w:ind w:left="6120" w:hanging="360"/>
      </w:pPr>
      <w:rPr>
        <w:rFonts w:ascii="Wingdings" w:hAnsi="Wingdings" w:hint="default"/>
      </w:rPr>
    </w:lvl>
  </w:abstractNum>
  <w:abstractNum w:abstractNumId="37" w15:restartNumberingAfterBreak="0">
    <w:nsid w:val="70C32F03"/>
    <w:multiLevelType w:val="hybridMultilevel"/>
    <w:tmpl w:val="409ADDE8"/>
    <w:lvl w:ilvl="0" w:tplc="041D0017">
      <w:start w:val="1"/>
      <w:numFmt w:val="lowerLetter"/>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38" w15:restartNumberingAfterBreak="0">
    <w:nsid w:val="72FF658A"/>
    <w:multiLevelType w:val="hybridMultilevel"/>
    <w:tmpl w:val="43EAEB92"/>
    <w:lvl w:ilvl="0" w:tplc="0809000F">
      <w:start w:val="1"/>
      <w:numFmt w:val="decimal"/>
      <w:lvlText w:val="%1."/>
      <w:lvlJc w:val="left"/>
      <w:pPr>
        <w:ind w:left="720" w:hanging="360"/>
      </w:pPr>
      <w:rPr>
        <w:rFonts w:hint="default"/>
        <w:color w:val="F28F40" w:themeColor="accen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30318C6"/>
    <w:multiLevelType w:val="multilevel"/>
    <w:tmpl w:val="3BF81580"/>
    <w:styleLink w:val="Multi-levellist"/>
    <w:lvl w:ilvl="0">
      <w:start w:val="1"/>
      <w:numFmt w:val="bullet"/>
      <w:lvlText w:val=""/>
      <w:lvlJc w:val="left"/>
      <w:pPr>
        <w:ind w:left="360" w:hanging="360"/>
      </w:pPr>
      <w:rPr>
        <w:rFonts w:ascii="Symbol" w:hAnsi="Symbol" w:hint="default"/>
        <w:color w:val="F28F40" w:themeColor="accent2"/>
      </w:rPr>
    </w:lvl>
    <w:lvl w:ilvl="1">
      <w:start w:val="1"/>
      <w:numFmt w:val="bullet"/>
      <w:lvlText w:val=""/>
      <w:lvlJc w:val="left"/>
      <w:pPr>
        <w:ind w:left="720" w:hanging="360"/>
      </w:pPr>
      <w:rPr>
        <w:rFonts w:ascii="Symbol" w:hAnsi="Symbol" w:hint="default"/>
        <w:color w:val="F28F40" w:themeColor="accent2"/>
      </w:rPr>
    </w:lvl>
    <w:lvl w:ilvl="2">
      <w:start w:val="1"/>
      <w:numFmt w:val="bullet"/>
      <w:lvlText w:val=""/>
      <w:lvlJc w:val="left"/>
      <w:pPr>
        <w:ind w:left="1080" w:hanging="360"/>
      </w:pPr>
      <w:rPr>
        <w:rFonts w:ascii="Symbol" w:hAnsi="Symbol" w:hint="default"/>
        <w:color w:val="F28F40" w:themeColor="accent2"/>
      </w:rPr>
    </w:lvl>
    <w:lvl w:ilvl="3">
      <w:start w:val="1"/>
      <w:numFmt w:val="bullet"/>
      <w:lvlText w:val=""/>
      <w:lvlJc w:val="left"/>
      <w:pPr>
        <w:ind w:left="1440" w:hanging="360"/>
      </w:pPr>
      <w:rPr>
        <w:rFonts w:ascii="Symbol" w:hAnsi="Symbol" w:hint="default"/>
        <w:color w:val="F28F40" w:themeColor="accent2"/>
      </w:rPr>
    </w:lvl>
    <w:lvl w:ilvl="4">
      <w:start w:val="1"/>
      <w:numFmt w:val="bullet"/>
      <w:lvlText w:val=""/>
      <w:lvlJc w:val="left"/>
      <w:pPr>
        <w:ind w:left="1800" w:hanging="360"/>
      </w:pPr>
      <w:rPr>
        <w:rFonts w:ascii="Symbol" w:hAnsi="Symbol" w:hint="default"/>
        <w:color w:val="F28F40" w:themeColor="accent2"/>
      </w:rPr>
    </w:lvl>
    <w:lvl w:ilvl="5">
      <w:start w:val="1"/>
      <w:numFmt w:val="bullet"/>
      <w:lvlText w:val=""/>
      <w:lvlJc w:val="left"/>
      <w:pPr>
        <w:ind w:left="2160" w:hanging="360"/>
      </w:pPr>
      <w:rPr>
        <w:rFonts w:ascii="Symbol" w:hAnsi="Symbol" w:hint="default"/>
        <w:color w:val="F28F40" w:themeColor="accent2"/>
      </w:rPr>
    </w:lvl>
    <w:lvl w:ilvl="6">
      <w:start w:val="1"/>
      <w:numFmt w:val="bullet"/>
      <w:lvlText w:val=""/>
      <w:lvlJc w:val="left"/>
      <w:pPr>
        <w:ind w:left="2520" w:hanging="360"/>
      </w:pPr>
      <w:rPr>
        <w:rFonts w:ascii="Symbol" w:hAnsi="Symbol" w:hint="default"/>
        <w:color w:val="F28F40" w:themeColor="accent2"/>
      </w:rPr>
    </w:lvl>
    <w:lvl w:ilvl="7">
      <w:start w:val="1"/>
      <w:numFmt w:val="bullet"/>
      <w:lvlText w:val=""/>
      <w:lvlJc w:val="left"/>
      <w:pPr>
        <w:ind w:left="2880" w:hanging="360"/>
      </w:pPr>
      <w:rPr>
        <w:rFonts w:ascii="Symbol" w:hAnsi="Symbol" w:hint="default"/>
        <w:color w:val="F28F40" w:themeColor="accent2"/>
      </w:rPr>
    </w:lvl>
    <w:lvl w:ilvl="8">
      <w:start w:val="1"/>
      <w:numFmt w:val="bullet"/>
      <w:lvlText w:val=""/>
      <w:lvlJc w:val="left"/>
      <w:pPr>
        <w:ind w:left="3240" w:hanging="360"/>
      </w:pPr>
      <w:rPr>
        <w:rFonts w:ascii="Symbol" w:hAnsi="Symbol" w:hint="default"/>
        <w:color w:val="F28F40" w:themeColor="accent2"/>
      </w:rPr>
    </w:lvl>
  </w:abstractNum>
  <w:abstractNum w:abstractNumId="40" w15:restartNumberingAfterBreak="0">
    <w:nsid w:val="760A3E9B"/>
    <w:multiLevelType w:val="hybridMultilevel"/>
    <w:tmpl w:val="E7F4348C"/>
    <w:lvl w:ilvl="0" w:tplc="6D9EAEA8">
      <w:start w:val="1"/>
      <w:numFmt w:val="bullet"/>
      <w:pStyle w:val="Tickbulletlist"/>
      <w:lvlText w:val=""/>
      <w:lvlPicBulletId w:val="0"/>
      <w:lvlJc w:val="left"/>
      <w:pPr>
        <w:ind w:left="360" w:hanging="360"/>
      </w:pPr>
      <w:rPr>
        <w:rFonts w:ascii="Symbol" w:hAnsi="Symbol" w:hint="default"/>
        <w:color w:val="auto"/>
      </w:rPr>
    </w:lvl>
    <w:lvl w:ilvl="1" w:tplc="ADCCD892">
      <w:start w:val="1"/>
      <w:numFmt w:val="bullet"/>
      <w:lvlText w:val="o"/>
      <w:lvlJc w:val="left"/>
      <w:pPr>
        <w:ind w:left="1080" w:hanging="360"/>
      </w:pPr>
      <w:rPr>
        <w:rFonts w:ascii="Courier New" w:hAnsi="Courier New" w:cs="Courier New" w:hint="default"/>
      </w:rPr>
    </w:lvl>
    <w:lvl w:ilvl="2" w:tplc="0380A65A">
      <w:start w:val="1"/>
      <w:numFmt w:val="bullet"/>
      <w:lvlText w:val=""/>
      <w:lvlJc w:val="left"/>
      <w:pPr>
        <w:ind w:left="1800" w:hanging="360"/>
      </w:pPr>
      <w:rPr>
        <w:rFonts w:ascii="Wingdings" w:hAnsi="Wingdings" w:hint="default"/>
      </w:rPr>
    </w:lvl>
    <w:lvl w:ilvl="3" w:tplc="64B62DB8">
      <w:start w:val="1"/>
      <w:numFmt w:val="bullet"/>
      <w:lvlText w:val=""/>
      <w:lvlJc w:val="left"/>
      <w:pPr>
        <w:ind w:left="2520" w:hanging="360"/>
      </w:pPr>
      <w:rPr>
        <w:rFonts w:ascii="Symbol" w:hAnsi="Symbol" w:hint="default"/>
      </w:rPr>
    </w:lvl>
    <w:lvl w:ilvl="4" w:tplc="6C60297A" w:tentative="1">
      <w:start w:val="1"/>
      <w:numFmt w:val="bullet"/>
      <w:lvlText w:val="o"/>
      <w:lvlJc w:val="left"/>
      <w:pPr>
        <w:ind w:left="3240" w:hanging="360"/>
      </w:pPr>
      <w:rPr>
        <w:rFonts w:ascii="Courier New" w:hAnsi="Courier New" w:cs="Courier New" w:hint="default"/>
      </w:rPr>
    </w:lvl>
    <w:lvl w:ilvl="5" w:tplc="BBFE78E2" w:tentative="1">
      <w:start w:val="1"/>
      <w:numFmt w:val="bullet"/>
      <w:lvlText w:val=""/>
      <w:lvlJc w:val="left"/>
      <w:pPr>
        <w:ind w:left="3960" w:hanging="360"/>
      </w:pPr>
      <w:rPr>
        <w:rFonts w:ascii="Wingdings" w:hAnsi="Wingdings" w:hint="default"/>
      </w:rPr>
    </w:lvl>
    <w:lvl w:ilvl="6" w:tplc="0AF82AE4" w:tentative="1">
      <w:start w:val="1"/>
      <w:numFmt w:val="bullet"/>
      <w:lvlText w:val=""/>
      <w:lvlJc w:val="left"/>
      <w:pPr>
        <w:ind w:left="4680" w:hanging="360"/>
      </w:pPr>
      <w:rPr>
        <w:rFonts w:ascii="Symbol" w:hAnsi="Symbol" w:hint="default"/>
      </w:rPr>
    </w:lvl>
    <w:lvl w:ilvl="7" w:tplc="E5FC9F3C" w:tentative="1">
      <w:start w:val="1"/>
      <w:numFmt w:val="bullet"/>
      <w:lvlText w:val="o"/>
      <w:lvlJc w:val="left"/>
      <w:pPr>
        <w:ind w:left="5400" w:hanging="360"/>
      </w:pPr>
      <w:rPr>
        <w:rFonts w:ascii="Courier New" w:hAnsi="Courier New" w:cs="Courier New" w:hint="default"/>
      </w:rPr>
    </w:lvl>
    <w:lvl w:ilvl="8" w:tplc="455412F8" w:tentative="1">
      <w:start w:val="1"/>
      <w:numFmt w:val="bullet"/>
      <w:lvlText w:val=""/>
      <w:lvlJc w:val="left"/>
      <w:pPr>
        <w:ind w:left="6120" w:hanging="360"/>
      </w:pPr>
      <w:rPr>
        <w:rFonts w:ascii="Wingdings" w:hAnsi="Wingdings" w:hint="default"/>
      </w:rPr>
    </w:lvl>
  </w:abstractNum>
  <w:abstractNum w:abstractNumId="41" w15:restartNumberingAfterBreak="0">
    <w:nsid w:val="767B2C3F"/>
    <w:multiLevelType w:val="hybridMultilevel"/>
    <w:tmpl w:val="3B660366"/>
    <w:lvl w:ilvl="0" w:tplc="041D0017">
      <w:start w:val="1"/>
      <w:numFmt w:val="lowerLetter"/>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42" w15:restartNumberingAfterBreak="0">
    <w:nsid w:val="775A0BB3"/>
    <w:multiLevelType w:val="hybridMultilevel"/>
    <w:tmpl w:val="F636F626"/>
    <w:lvl w:ilvl="0" w:tplc="041D0017">
      <w:start w:val="1"/>
      <w:numFmt w:val="lowerLetter"/>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43" w15:restartNumberingAfterBreak="0">
    <w:nsid w:val="78385D0E"/>
    <w:multiLevelType w:val="hybridMultilevel"/>
    <w:tmpl w:val="4FB656DA"/>
    <w:lvl w:ilvl="0" w:tplc="041D0015">
      <w:start w:val="1"/>
      <w:numFmt w:val="upp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528222364">
    <w:abstractNumId w:val="24"/>
  </w:num>
  <w:num w:numId="2" w16cid:durableId="729495049">
    <w:abstractNumId w:val="7"/>
  </w:num>
  <w:num w:numId="3" w16cid:durableId="1280529973">
    <w:abstractNumId w:val="39"/>
  </w:num>
  <w:num w:numId="4" w16cid:durableId="305862518">
    <w:abstractNumId w:val="18"/>
  </w:num>
  <w:num w:numId="5" w16cid:durableId="836649534">
    <w:abstractNumId w:val="31"/>
  </w:num>
  <w:num w:numId="6" w16cid:durableId="486630220">
    <w:abstractNumId w:val="5"/>
  </w:num>
  <w:num w:numId="7" w16cid:durableId="150144759">
    <w:abstractNumId w:val="9"/>
  </w:num>
  <w:num w:numId="8" w16cid:durableId="968363234">
    <w:abstractNumId w:val="2"/>
  </w:num>
  <w:num w:numId="9" w16cid:durableId="1275792252">
    <w:abstractNumId w:val="1"/>
  </w:num>
  <w:num w:numId="10" w16cid:durableId="568007139">
    <w:abstractNumId w:val="10"/>
  </w:num>
  <w:num w:numId="11" w16cid:durableId="1349526292">
    <w:abstractNumId w:val="29"/>
  </w:num>
  <w:num w:numId="12" w16cid:durableId="374698402">
    <w:abstractNumId w:val="11"/>
  </w:num>
  <w:num w:numId="13" w16cid:durableId="238685153">
    <w:abstractNumId w:val="19"/>
  </w:num>
  <w:num w:numId="14" w16cid:durableId="1857495509">
    <w:abstractNumId w:val="20"/>
  </w:num>
  <w:num w:numId="15" w16cid:durableId="445582180">
    <w:abstractNumId w:val="14"/>
  </w:num>
  <w:num w:numId="16" w16cid:durableId="1487281067">
    <w:abstractNumId w:val="38"/>
  </w:num>
  <w:num w:numId="17" w16cid:durableId="1676572232">
    <w:abstractNumId w:val="30"/>
  </w:num>
  <w:num w:numId="18" w16cid:durableId="787547423">
    <w:abstractNumId w:val="8"/>
  </w:num>
  <w:num w:numId="19" w16cid:durableId="157579569">
    <w:abstractNumId w:val="17"/>
  </w:num>
  <w:num w:numId="20" w16cid:durableId="1542397825">
    <w:abstractNumId w:val="27"/>
  </w:num>
  <w:num w:numId="21" w16cid:durableId="234169097">
    <w:abstractNumId w:val="40"/>
  </w:num>
  <w:num w:numId="22" w16cid:durableId="240481312">
    <w:abstractNumId w:val="28"/>
  </w:num>
  <w:num w:numId="23" w16cid:durableId="2119445772">
    <w:abstractNumId w:val="6"/>
  </w:num>
  <w:num w:numId="24" w16cid:durableId="1370229003">
    <w:abstractNumId w:val="15"/>
  </w:num>
  <w:num w:numId="25" w16cid:durableId="1632057101">
    <w:abstractNumId w:val="32"/>
  </w:num>
  <w:num w:numId="26" w16cid:durableId="730156905">
    <w:abstractNumId w:val="12"/>
  </w:num>
  <w:num w:numId="27" w16cid:durableId="353501773">
    <w:abstractNumId w:val="37"/>
  </w:num>
  <w:num w:numId="28" w16cid:durableId="726758540">
    <w:abstractNumId w:val="16"/>
  </w:num>
  <w:num w:numId="29" w16cid:durableId="403723996">
    <w:abstractNumId w:val="23"/>
  </w:num>
  <w:num w:numId="30" w16cid:durableId="649095265">
    <w:abstractNumId w:val="36"/>
  </w:num>
  <w:num w:numId="31" w16cid:durableId="554201289">
    <w:abstractNumId w:val="33"/>
  </w:num>
  <w:num w:numId="32" w16cid:durableId="521630425">
    <w:abstractNumId w:val="35"/>
  </w:num>
  <w:num w:numId="33" w16cid:durableId="509948252">
    <w:abstractNumId w:val="43"/>
  </w:num>
  <w:num w:numId="34" w16cid:durableId="1309626581">
    <w:abstractNumId w:val="34"/>
  </w:num>
  <w:num w:numId="35" w16cid:durableId="1428038662">
    <w:abstractNumId w:val="0"/>
  </w:num>
  <w:num w:numId="36" w16cid:durableId="298340967">
    <w:abstractNumId w:val="21"/>
  </w:num>
  <w:num w:numId="37" w16cid:durableId="1165436364">
    <w:abstractNumId w:val="13"/>
  </w:num>
  <w:num w:numId="38" w16cid:durableId="1678729447">
    <w:abstractNumId w:val="4"/>
  </w:num>
  <w:num w:numId="39" w16cid:durableId="1751848465">
    <w:abstractNumId w:val="25"/>
  </w:num>
  <w:num w:numId="40" w16cid:durableId="1929384031">
    <w:abstractNumId w:val="42"/>
  </w:num>
  <w:num w:numId="41" w16cid:durableId="1376197847">
    <w:abstractNumId w:val="41"/>
  </w:num>
  <w:num w:numId="42" w16cid:durableId="1471091878">
    <w:abstractNumId w:val="22"/>
  </w:num>
  <w:num w:numId="43" w16cid:durableId="1572234187">
    <w:abstractNumId w:val="24"/>
  </w:num>
  <w:num w:numId="44" w16cid:durableId="403770203">
    <w:abstractNumId w:val="26"/>
  </w:num>
  <w:num w:numId="45" w16cid:durableId="20384598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5938900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7143641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9DA"/>
    <w:rsid w:val="00007E5E"/>
    <w:rsid w:val="000144E4"/>
    <w:rsid w:val="000239D6"/>
    <w:rsid w:val="0002772B"/>
    <w:rsid w:val="000369DA"/>
    <w:rsid w:val="00041A08"/>
    <w:rsid w:val="000B0616"/>
    <w:rsid w:val="000D1127"/>
    <w:rsid w:val="000E0442"/>
    <w:rsid w:val="0010192B"/>
    <w:rsid w:val="00105B5C"/>
    <w:rsid w:val="001439B7"/>
    <w:rsid w:val="00145672"/>
    <w:rsid w:val="001512A2"/>
    <w:rsid w:val="001704E3"/>
    <w:rsid w:val="00184FD1"/>
    <w:rsid w:val="001966AE"/>
    <w:rsid w:val="001C6C74"/>
    <w:rsid w:val="00250A2B"/>
    <w:rsid w:val="00253318"/>
    <w:rsid w:val="00256D30"/>
    <w:rsid w:val="00264B75"/>
    <w:rsid w:val="00281C50"/>
    <w:rsid w:val="002B12AD"/>
    <w:rsid w:val="002D1DC7"/>
    <w:rsid w:val="002D635C"/>
    <w:rsid w:val="00330C03"/>
    <w:rsid w:val="0034742B"/>
    <w:rsid w:val="00360DDC"/>
    <w:rsid w:val="00373E0A"/>
    <w:rsid w:val="003A4B3F"/>
    <w:rsid w:val="003D2C6D"/>
    <w:rsid w:val="003E600C"/>
    <w:rsid w:val="003F0D77"/>
    <w:rsid w:val="00421FAF"/>
    <w:rsid w:val="00436D28"/>
    <w:rsid w:val="00445368"/>
    <w:rsid w:val="00453DA1"/>
    <w:rsid w:val="00454AC7"/>
    <w:rsid w:val="004F6A66"/>
    <w:rsid w:val="00504FD3"/>
    <w:rsid w:val="005329A9"/>
    <w:rsid w:val="00532F56"/>
    <w:rsid w:val="00534CA9"/>
    <w:rsid w:val="00567B59"/>
    <w:rsid w:val="00582DE4"/>
    <w:rsid w:val="005918F1"/>
    <w:rsid w:val="005B4E2F"/>
    <w:rsid w:val="005C445B"/>
    <w:rsid w:val="005D30DC"/>
    <w:rsid w:val="005D3289"/>
    <w:rsid w:val="005F3B4A"/>
    <w:rsid w:val="00606898"/>
    <w:rsid w:val="00622A3F"/>
    <w:rsid w:val="00645252"/>
    <w:rsid w:val="0068305D"/>
    <w:rsid w:val="006A4137"/>
    <w:rsid w:val="006D3D74"/>
    <w:rsid w:val="006D7DD5"/>
    <w:rsid w:val="006F6540"/>
    <w:rsid w:val="00744BB0"/>
    <w:rsid w:val="007517CC"/>
    <w:rsid w:val="007721A2"/>
    <w:rsid w:val="007721F1"/>
    <w:rsid w:val="00774998"/>
    <w:rsid w:val="007D027D"/>
    <w:rsid w:val="007F4345"/>
    <w:rsid w:val="0081539D"/>
    <w:rsid w:val="00817770"/>
    <w:rsid w:val="0083569A"/>
    <w:rsid w:val="00851336"/>
    <w:rsid w:val="00862CEE"/>
    <w:rsid w:val="0087259D"/>
    <w:rsid w:val="00876D3B"/>
    <w:rsid w:val="008F658B"/>
    <w:rsid w:val="00940DB7"/>
    <w:rsid w:val="0097449B"/>
    <w:rsid w:val="009A14FC"/>
    <w:rsid w:val="00A158E3"/>
    <w:rsid w:val="00A51102"/>
    <w:rsid w:val="00A6432B"/>
    <w:rsid w:val="00A77135"/>
    <w:rsid w:val="00A9204E"/>
    <w:rsid w:val="00AB6274"/>
    <w:rsid w:val="00AE13E1"/>
    <w:rsid w:val="00AE6615"/>
    <w:rsid w:val="00B71EC8"/>
    <w:rsid w:val="00B743A2"/>
    <w:rsid w:val="00B97D67"/>
    <w:rsid w:val="00BA3A28"/>
    <w:rsid w:val="00BA769A"/>
    <w:rsid w:val="00BB32FE"/>
    <w:rsid w:val="00BB37B1"/>
    <w:rsid w:val="00BC05BB"/>
    <w:rsid w:val="00BD7B8B"/>
    <w:rsid w:val="00C21957"/>
    <w:rsid w:val="00C3533B"/>
    <w:rsid w:val="00C71BCD"/>
    <w:rsid w:val="00CA405F"/>
    <w:rsid w:val="00D06578"/>
    <w:rsid w:val="00D33778"/>
    <w:rsid w:val="00D45F6B"/>
    <w:rsid w:val="00D66DD4"/>
    <w:rsid w:val="00DA6074"/>
    <w:rsid w:val="00DE7D57"/>
    <w:rsid w:val="00E14C54"/>
    <w:rsid w:val="00E5094F"/>
    <w:rsid w:val="00E664DE"/>
    <w:rsid w:val="00E917C3"/>
    <w:rsid w:val="00E9314A"/>
    <w:rsid w:val="00E96ABC"/>
    <w:rsid w:val="00EA1464"/>
    <w:rsid w:val="00EA381D"/>
    <w:rsid w:val="00EB340B"/>
    <w:rsid w:val="00EF6386"/>
    <w:rsid w:val="00F2278B"/>
    <w:rsid w:val="00F329FD"/>
    <w:rsid w:val="00F508C7"/>
    <w:rsid w:val="00FA0032"/>
    <w:rsid w:val="00FF74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2C69C6A"/>
  <w15:chartTrackingRefBased/>
  <w15:docId w15:val="{01E0CC96-CB98-4A2A-A3E2-2B38F29AA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uiPriority w:val="10"/>
    <w:qFormat/>
    <w:rsid w:val="00E14C54"/>
    <w:rPr>
      <w:lang w:val="en-GB"/>
    </w:rPr>
  </w:style>
  <w:style w:type="paragraph" w:styleId="Heading1">
    <w:name w:val="heading 1"/>
    <w:basedOn w:val="Normal"/>
    <w:next w:val="Normal"/>
    <w:link w:val="Heading1Char"/>
    <w:uiPriority w:val="9"/>
    <w:qFormat/>
    <w:rsid w:val="0002772B"/>
    <w:pPr>
      <w:keepNext/>
      <w:keepLines/>
      <w:spacing w:before="240"/>
      <w:outlineLvl w:val="0"/>
    </w:pPr>
    <w:rPr>
      <w:rFonts w:eastAsiaTheme="majorEastAsia" w:cstheme="majorBidi"/>
      <w:b/>
      <w:color w:val="3A6F91" w:themeColor="accent1"/>
      <w:sz w:val="36"/>
      <w:szCs w:val="32"/>
    </w:rPr>
  </w:style>
  <w:style w:type="paragraph" w:styleId="Heading2">
    <w:name w:val="heading 2"/>
    <w:basedOn w:val="Normal"/>
    <w:next w:val="Normal"/>
    <w:link w:val="Heading2Char"/>
    <w:uiPriority w:val="9"/>
    <w:unhideWhenUsed/>
    <w:qFormat/>
    <w:rsid w:val="0002772B"/>
    <w:pPr>
      <w:keepNext/>
      <w:keepLines/>
      <w:spacing w:before="40"/>
      <w:outlineLvl w:val="1"/>
    </w:pPr>
    <w:rPr>
      <w:rFonts w:eastAsiaTheme="majorEastAsia" w:cstheme="majorBidi"/>
      <w:b/>
      <w:color w:val="3A6F91" w:themeColor="accent1"/>
      <w:sz w:val="32"/>
      <w:szCs w:val="26"/>
    </w:rPr>
  </w:style>
  <w:style w:type="paragraph" w:styleId="Heading3">
    <w:name w:val="heading 3"/>
    <w:basedOn w:val="Normal"/>
    <w:next w:val="Normal"/>
    <w:link w:val="Heading3Char"/>
    <w:uiPriority w:val="9"/>
    <w:unhideWhenUsed/>
    <w:qFormat/>
    <w:rsid w:val="0002772B"/>
    <w:pPr>
      <w:keepNext/>
      <w:keepLines/>
      <w:spacing w:before="40"/>
      <w:outlineLvl w:val="2"/>
    </w:pPr>
    <w:rPr>
      <w:rFonts w:eastAsiaTheme="majorEastAsia" w:cstheme="majorBidi"/>
      <w:b/>
      <w:color w:val="3A6F91" w:themeColor="accent1"/>
      <w:sz w:val="28"/>
      <w:szCs w:val="24"/>
    </w:rPr>
  </w:style>
  <w:style w:type="paragraph" w:styleId="Heading4">
    <w:name w:val="heading 4"/>
    <w:basedOn w:val="Normal"/>
    <w:next w:val="Normal"/>
    <w:link w:val="Heading4Char"/>
    <w:uiPriority w:val="9"/>
    <w:unhideWhenUsed/>
    <w:rsid w:val="002B12AD"/>
    <w:pPr>
      <w:keepNext/>
      <w:keepLines/>
      <w:spacing w:before="40"/>
      <w:outlineLvl w:val="3"/>
    </w:pPr>
    <w:rPr>
      <w:rFonts w:eastAsiaTheme="majorEastAsia" w:cstheme="majorBidi"/>
      <w:b/>
      <w:iCs/>
      <w:color w:val="3A6F91" w:themeColor="accent1"/>
      <w:sz w:val="32"/>
    </w:rPr>
  </w:style>
  <w:style w:type="paragraph" w:styleId="Heading5">
    <w:name w:val="heading 5"/>
    <w:basedOn w:val="Normal"/>
    <w:next w:val="Normal"/>
    <w:link w:val="Heading5Char"/>
    <w:uiPriority w:val="9"/>
    <w:unhideWhenUsed/>
    <w:rsid w:val="002B12AD"/>
    <w:pPr>
      <w:keepNext/>
      <w:keepLines/>
      <w:spacing w:before="40"/>
      <w:outlineLvl w:val="4"/>
    </w:pPr>
    <w:rPr>
      <w:rFonts w:eastAsiaTheme="majorEastAsia" w:cstheme="majorBidi"/>
      <w:b/>
      <w:color w:val="3A6F91" w:themeColor="accent1"/>
      <w:sz w:val="32"/>
    </w:rPr>
  </w:style>
  <w:style w:type="paragraph" w:styleId="Heading6">
    <w:name w:val="heading 6"/>
    <w:basedOn w:val="Normal"/>
    <w:next w:val="Normal"/>
    <w:link w:val="Heading6Char"/>
    <w:uiPriority w:val="9"/>
    <w:unhideWhenUsed/>
    <w:rsid w:val="002B12AD"/>
    <w:pPr>
      <w:keepNext/>
      <w:keepLines/>
      <w:spacing w:before="40"/>
      <w:outlineLvl w:val="5"/>
    </w:pPr>
    <w:rPr>
      <w:rFonts w:eastAsiaTheme="majorEastAsia" w:cstheme="majorBidi"/>
      <w:b/>
      <w:color w:val="3A6F91" w:themeColor="accent1"/>
      <w:sz w:val="32"/>
    </w:rPr>
  </w:style>
  <w:style w:type="paragraph" w:styleId="Heading7">
    <w:name w:val="heading 7"/>
    <w:basedOn w:val="Normal"/>
    <w:next w:val="Normal"/>
    <w:link w:val="Heading7Char"/>
    <w:uiPriority w:val="9"/>
    <w:unhideWhenUsed/>
    <w:rsid w:val="002B12AD"/>
    <w:pPr>
      <w:keepNext/>
      <w:keepLines/>
      <w:spacing w:before="40"/>
      <w:outlineLvl w:val="6"/>
    </w:pPr>
    <w:rPr>
      <w:rFonts w:eastAsiaTheme="majorEastAsia" w:cstheme="majorBidi"/>
      <w:b/>
      <w:iCs/>
      <w:color w:val="3A6F91" w:themeColor="accent1"/>
      <w:sz w:val="32"/>
    </w:rPr>
  </w:style>
  <w:style w:type="paragraph" w:styleId="Heading8">
    <w:name w:val="heading 8"/>
    <w:basedOn w:val="Normal"/>
    <w:next w:val="Normal"/>
    <w:link w:val="Heading8Char"/>
    <w:uiPriority w:val="9"/>
    <w:unhideWhenUsed/>
    <w:rsid w:val="002B12AD"/>
    <w:pPr>
      <w:keepNext/>
      <w:keepLines/>
      <w:spacing w:before="40"/>
      <w:outlineLvl w:val="7"/>
    </w:pPr>
    <w:rPr>
      <w:rFonts w:eastAsiaTheme="majorEastAsia" w:cstheme="majorBidi"/>
      <w:b/>
      <w:color w:val="3A6F91" w:themeColor="accent1"/>
      <w:sz w:val="32"/>
      <w:szCs w:val="21"/>
    </w:rPr>
  </w:style>
  <w:style w:type="paragraph" w:styleId="Heading9">
    <w:name w:val="heading 9"/>
    <w:basedOn w:val="Normal"/>
    <w:next w:val="Normal"/>
    <w:link w:val="Heading9Char"/>
    <w:uiPriority w:val="9"/>
    <w:unhideWhenUsed/>
    <w:rsid w:val="002B12AD"/>
    <w:pPr>
      <w:keepNext/>
      <w:keepLines/>
      <w:spacing w:before="40"/>
      <w:outlineLvl w:val="8"/>
    </w:pPr>
    <w:rPr>
      <w:rFonts w:eastAsiaTheme="majorEastAsia" w:cstheme="majorBidi"/>
      <w:b/>
      <w:iCs/>
      <w:color w:val="3A6F91" w:themeColor="accent1"/>
      <w:sz w:val="3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772B"/>
    <w:rPr>
      <w:rFonts w:eastAsiaTheme="majorEastAsia" w:cstheme="majorBidi"/>
      <w:b/>
      <w:color w:val="3A6F91" w:themeColor="accent1"/>
      <w:sz w:val="36"/>
      <w:szCs w:val="32"/>
    </w:rPr>
  </w:style>
  <w:style w:type="character" w:customStyle="1" w:styleId="Heading2Char">
    <w:name w:val="Heading 2 Char"/>
    <w:basedOn w:val="DefaultParagraphFont"/>
    <w:link w:val="Heading2"/>
    <w:uiPriority w:val="9"/>
    <w:rsid w:val="0002772B"/>
    <w:rPr>
      <w:rFonts w:eastAsiaTheme="majorEastAsia" w:cstheme="majorBidi"/>
      <w:b/>
      <w:color w:val="3A6F91" w:themeColor="accent1"/>
      <w:sz w:val="32"/>
      <w:szCs w:val="26"/>
    </w:rPr>
  </w:style>
  <w:style w:type="character" w:customStyle="1" w:styleId="Heading3Char">
    <w:name w:val="Heading 3 Char"/>
    <w:basedOn w:val="DefaultParagraphFont"/>
    <w:link w:val="Heading3"/>
    <w:uiPriority w:val="9"/>
    <w:rsid w:val="0002772B"/>
    <w:rPr>
      <w:rFonts w:eastAsiaTheme="majorEastAsia" w:cstheme="majorBidi"/>
      <w:b/>
      <w:color w:val="3A6F91" w:themeColor="accent1"/>
      <w:sz w:val="28"/>
      <w:szCs w:val="24"/>
    </w:rPr>
  </w:style>
  <w:style w:type="character" w:customStyle="1" w:styleId="Heading4Char">
    <w:name w:val="Heading 4 Char"/>
    <w:basedOn w:val="DefaultParagraphFont"/>
    <w:link w:val="Heading4"/>
    <w:uiPriority w:val="9"/>
    <w:rsid w:val="002B12AD"/>
    <w:rPr>
      <w:rFonts w:eastAsiaTheme="majorEastAsia" w:cstheme="majorBidi"/>
      <w:b/>
      <w:iCs/>
      <w:color w:val="3A6F91" w:themeColor="accent1"/>
      <w:sz w:val="32"/>
    </w:rPr>
  </w:style>
  <w:style w:type="character" w:customStyle="1" w:styleId="Heading5Char">
    <w:name w:val="Heading 5 Char"/>
    <w:basedOn w:val="DefaultParagraphFont"/>
    <w:link w:val="Heading5"/>
    <w:uiPriority w:val="9"/>
    <w:rsid w:val="002B12AD"/>
    <w:rPr>
      <w:rFonts w:eastAsiaTheme="majorEastAsia" w:cstheme="majorBidi"/>
      <w:b/>
      <w:color w:val="3A6F91" w:themeColor="accent1"/>
      <w:sz w:val="32"/>
    </w:rPr>
  </w:style>
  <w:style w:type="character" w:customStyle="1" w:styleId="Heading6Char">
    <w:name w:val="Heading 6 Char"/>
    <w:basedOn w:val="DefaultParagraphFont"/>
    <w:link w:val="Heading6"/>
    <w:uiPriority w:val="9"/>
    <w:rsid w:val="002B12AD"/>
    <w:rPr>
      <w:rFonts w:eastAsiaTheme="majorEastAsia" w:cstheme="majorBidi"/>
      <w:b/>
      <w:color w:val="3A6F91" w:themeColor="accent1"/>
      <w:sz w:val="32"/>
    </w:rPr>
  </w:style>
  <w:style w:type="character" w:customStyle="1" w:styleId="Heading7Char">
    <w:name w:val="Heading 7 Char"/>
    <w:basedOn w:val="DefaultParagraphFont"/>
    <w:link w:val="Heading7"/>
    <w:uiPriority w:val="9"/>
    <w:rsid w:val="002B12AD"/>
    <w:rPr>
      <w:rFonts w:eastAsiaTheme="majorEastAsia" w:cstheme="majorBidi"/>
      <w:b/>
      <w:iCs/>
      <w:color w:val="3A6F91" w:themeColor="accent1"/>
      <w:sz w:val="32"/>
    </w:rPr>
  </w:style>
  <w:style w:type="character" w:customStyle="1" w:styleId="Heading8Char">
    <w:name w:val="Heading 8 Char"/>
    <w:basedOn w:val="DefaultParagraphFont"/>
    <w:link w:val="Heading8"/>
    <w:uiPriority w:val="9"/>
    <w:rsid w:val="002B12AD"/>
    <w:rPr>
      <w:rFonts w:eastAsiaTheme="majorEastAsia" w:cstheme="majorBidi"/>
      <w:b/>
      <w:color w:val="3A6F91" w:themeColor="accent1"/>
      <w:sz w:val="32"/>
      <w:szCs w:val="21"/>
    </w:rPr>
  </w:style>
  <w:style w:type="character" w:customStyle="1" w:styleId="Heading9Char">
    <w:name w:val="Heading 9 Char"/>
    <w:basedOn w:val="DefaultParagraphFont"/>
    <w:link w:val="Heading9"/>
    <w:uiPriority w:val="9"/>
    <w:rsid w:val="002B12AD"/>
    <w:rPr>
      <w:rFonts w:eastAsiaTheme="majorEastAsia" w:cstheme="majorBidi"/>
      <w:b/>
      <w:iCs/>
      <w:color w:val="3A6F91" w:themeColor="accent1"/>
      <w:sz w:val="32"/>
      <w:szCs w:val="21"/>
    </w:rPr>
  </w:style>
  <w:style w:type="paragraph" w:styleId="Title">
    <w:name w:val="Title"/>
    <w:aliases w:val="cover title"/>
    <w:basedOn w:val="Normal"/>
    <w:next w:val="Normal"/>
    <w:link w:val="TitleChar"/>
    <w:uiPriority w:val="17"/>
    <w:qFormat/>
    <w:rsid w:val="00007E5E"/>
    <w:pPr>
      <w:contextualSpacing/>
    </w:pPr>
    <w:rPr>
      <w:rFonts w:eastAsiaTheme="majorEastAsia" w:cstheme="majorBidi"/>
      <w:b/>
      <w:color w:val="3A6F91" w:themeColor="accent1"/>
      <w:spacing w:val="-10"/>
      <w:kern w:val="28"/>
      <w:sz w:val="56"/>
      <w:szCs w:val="56"/>
    </w:rPr>
  </w:style>
  <w:style w:type="character" w:customStyle="1" w:styleId="TitleChar">
    <w:name w:val="Title Char"/>
    <w:aliases w:val="cover title Char"/>
    <w:basedOn w:val="DefaultParagraphFont"/>
    <w:link w:val="Title"/>
    <w:uiPriority w:val="17"/>
    <w:rsid w:val="00007E5E"/>
    <w:rPr>
      <w:rFonts w:eastAsiaTheme="majorEastAsia" w:cstheme="majorBidi"/>
      <w:b/>
      <w:color w:val="3A6F91" w:themeColor="accent1"/>
      <w:spacing w:val="-10"/>
      <w:kern w:val="28"/>
      <w:sz w:val="56"/>
      <w:szCs w:val="56"/>
    </w:rPr>
  </w:style>
  <w:style w:type="paragraph" w:styleId="Subtitle">
    <w:name w:val="Subtitle"/>
    <w:aliases w:val="cover subtitle"/>
    <w:basedOn w:val="Normal"/>
    <w:next w:val="Normal"/>
    <w:link w:val="SubtitleChar"/>
    <w:uiPriority w:val="18"/>
    <w:qFormat/>
    <w:rsid w:val="00007E5E"/>
    <w:pPr>
      <w:numPr>
        <w:ilvl w:val="1"/>
      </w:numPr>
    </w:pPr>
    <w:rPr>
      <w:rFonts w:eastAsiaTheme="minorEastAsia"/>
      <w:b/>
      <w:color w:val="3A6F91" w:themeColor="accent1"/>
      <w:spacing w:val="15"/>
    </w:rPr>
  </w:style>
  <w:style w:type="character" w:customStyle="1" w:styleId="SubtitleChar">
    <w:name w:val="Subtitle Char"/>
    <w:aliases w:val="cover subtitle Char"/>
    <w:basedOn w:val="DefaultParagraphFont"/>
    <w:link w:val="Subtitle"/>
    <w:uiPriority w:val="18"/>
    <w:rsid w:val="00007E5E"/>
    <w:rPr>
      <w:rFonts w:eastAsiaTheme="minorEastAsia"/>
      <w:b/>
      <w:color w:val="3A6F91" w:themeColor="accent1"/>
      <w:spacing w:val="15"/>
    </w:rPr>
  </w:style>
  <w:style w:type="character" w:styleId="SubtleEmphasis">
    <w:name w:val="Subtle Emphasis"/>
    <w:basedOn w:val="DefaultParagraphFont"/>
    <w:uiPriority w:val="19"/>
    <w:rPr>
      <w:i/>
      <w:iCs/>
      <w:color w:val="FFFFFF" w:themeColor="text1" w:themeTint="BF"/>
    </w:rPr>
  </w:style>
  <w:style w:type="character" w:styleId="Emphasis">
    <w:name w:val="Emphasis"/>
    <w:basedOn w:val="DefaultParagraphFont"/>
    <w:uiPriority w:val="20"/>
    <w:rPr>
      <w:i/>
      <w:iCs/>
    </w:rPr>
  </w:style>
  <w:style w:type="character" w:styleId="IntenseEmphasis">
    <w:name w:val="Intense Emphasis"/>
    <w:basedOn w:val="DefaultParagraphFont"/>
    <w:uiPriority w:val="21"/>
    <w:rsid w:val="00645252"/>
    <w:rPr>
      <w:i/>
      <w:iCs/>
      <w:color w:val="1D3748" w:themeColor="accent1" w:themeShade="80"/>
    </w:rPr>
  </w:style>
  <w:style w:type="character" w:styleId="Strong">
    <w:name w:val="Strong"/>
    <w:basedOn w:val="DefaultParagraphFont"/>
    <w:uiPriority w:val="22"/>
    <w:rPr>
      <w:b/>
      <w:bCs/>
    </w:rPr>
  </w:style>
  <w:style w:type="paragraph" w:styleId="Quote">
    <w:name w:val="Quote"/>
    <w:basedOn w:val="Normal"/>
    <w:next w:val="Normal"/>
    <w:link w:val="QuoteChar"/>
    <w:uiPriority w:val="29"/>
    <w:qFormat/>
    <w:rsid w:val="00B71EC8"/>
    <w:pPr>
      <w:spacing w:before="200"/>
      <w:ind w:left="864" w:right="864"/>
      <w:jc w:val="center"/>
    </w:pPr>
    <w:rPr>
      <w:i/>
      <w:iCs/>
      <w:color w:val="3A6F91" w:themeColor="accent1"/>
    </w:rPr>
  </w:style>
  <w:style w:type="character" w:customStyle="1" w:styleId="QuoteChar">
    <w:name w:val="Quote Char"/>
    <w:basedOn w:val="DefaultParagraphFont"/>
    <w:link w:val="Quote"/>
    <w:uiPriority w:val="29"/>
    <w:rsid w:val="00B71EC8"/>
    <w:rPr>
      <w:i/>
      <w:iCs/>
      <w:color w:val="3A6F91" w:themeColor="accent1"/>
    </w:rPr>
  </w:style>
  <w:style w:type="paragraph" w:styleId="IntenseQuote">
    <w:name w:val="Intense Quote"/>
    <w:basedOn w:val="Normal"/>
    <w:next w:val="Normal"/>
    <w:link w:val="IntenseQuoteChar"/>
    <w:uiPriority w:val="30"/>
    <w:qFormat/>
    <w:rsid w:val="00B71EC8"/>
    <w:pPr>
      <w:pBdr>
        <w:top w:val="single" w:sz="4" w:space="10" w:color="1D3748" w:themeColor="accent1" w:themeShade="80"/>
        <w:bottom w:val="single" w:sz="4" w:space="10" w:color="1D3748" w:themeColor="accent1" w:themeShade="80"/>
      </w:pBdr>
      <w:spacing w:before="360" w:after="360"/>
      <w:ind w:left="864" w:right="864"/>
      <w:jc w:val="center"/>
    </w:pPr>
    <w:rPr>
      <w:i/>
      <w:iCs/>
      <w:color w:val="3A6F91" w:themeColor="accent1"/>
    </w:rPr>
  </w:style>
  <w:style w:type="character" w:customStyle="1" w:styleId="IntenseQuoteChar">
    <w:name w:val="Intense Quote Char"/>
    <w:basedOn w:val="DefaultParagraphFont"/>
    <w:link w:val="IntenseQuote"/>
    <w:uiPriority w:val="30"/>
    <w:rsid w:val="00B71EC8"/>
    <w:rPr>
      <w:i/>
      <w:iCs/>
      <w:color w:val="3A6F91" w:themeColor="accent1"/>
    </w:rPr>
  </w:style>
  <w:style w:type="character" w:styleId="SubtleReference">
    <w:name w:val="Subtle Reference"/>
    <w:basedOn w:val="DefaultParagraphFont"/>
    <w:uiPriority w:val="31"/>
    <w:rPr>
      <w:smallCaps/>
      <w:color w:val="FFFFFF" w:themeColor="text1" w:themeTint="A5"/>
    </w:rPr>
  </w:style>
  <w:style w:type="character" w:styleId="IntenseReference">
    <w:name w:val="Intense Reference"/>
    <w:basedOn w:val="DefaultParagraphFont"/>
    <w:uiPriority w:val="32"/>
    <w:rsid w:val="00645252"/>
    <w:rPr>
      <w:b/>
      <w:bCs/>
      <w:caps w:val="0"/>
      <w:smallCaps/>
      <w:color w:val="1D3748" w:themeColor="accent1" w:themeShade="80"/>
      <w:spacing w:val="5"/>
    </w:rPr>
  </w:style>
  <w:style w:type="character" w:styleId="BookTitle">
    <w:name w:val="Book Title"/>
    <w:basedOn w:val="DefaultParagraphFont"/>
    <w:uiPriority w:val="33"/>
    <w:rPr>
      <w:b/>
      <w:bCs/>
      <w:i/>
      <w:iCs/>
      <w:spacing w:val="5"/>
    </w:rPr>
  </w:style>
  <w:style w:type="character" w:styleId="Hyperlink">
    <w:name w:val="Hyperlink"/>
    <w:basedOn w:val="DefaultParagraphFont"/>
    <w:uiPriority w:val="99"/>
    <w:unhideWhenUsed/>
    <w:rsid w:val="00645252"/>
    <w:rPr>
      <w:color w:val="1D3748" w:themeColor="accent1" w:themeShade="80"/>
      <w:u w:val="single"/>
    </w:rPr>
  </w:style>
  <w:style w:type="character" w:styleId="FollowedHyperlink">
    <w:name w:val="FollowedHyperlink"/>
    <w:basedOn w:val="DefaultParagraphFont"/>
    <w:uiPriority w:val="99"/>
    <w:unhideWhenUsed/>
    <w:rPr>
      <w:color w:val="F28F40" w:themeColor="followedHyperlink"/>
      <w:u w:val="single"/>
    </w:rPr>
  </w:style>
  <w:style w:type="paragraph" w:styleId="Caption">
    <w:name w:val="caption"/>
    <w:basedOn w:val="Normal"/>
    <w:next w:val="Normal"/>
    <w:uiPriority w:val="35"/>
    <w:unhideWhenUsed/>
    <w:qFormat/>
    <w:rsid w:val="00B71EC8"/>
    <w:pPr>
      <w:spacing w:after="200"/>
    </w:pPr>
    <w:rPr>
      <w:i/>
      <w:iCs/>
      <w:color w:val="3A6F91" w:themeColor="accent1"/>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3A6F91" w:themeColor="accent1" w:shadow="1" w:frame="1"/>
        <w:left w:val="single" w:sz="2" w:space="10" w:color="3A6F91" w:themeColor="accent1" w:shadow="1" w:frame="1"/>
        <w:bottom w:val="single" w:sz="2" w:space="10" w:color="3A6F91" w:themeColor="accent1" w:shadow="1" w:frame="1"/>
        <w:right w:val="single" w:sz="2" w:space="10" w:color="3A6F91" w:themeColor="accent1" w:shadow="1" w:frame="1"/>
      </w:pBdr>
      <w:ind w:left="1152" w:right="1152"/>
    </w:pPr>
    <w:rPr>
      <w:rFonts w:eastAsiaTheme="minorEastAsia"/>
      <w:i/>
      <w:iCs/>
      <w:color w:val="1D3748"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0E1B24"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nhideWhenUsed/>
    <w:rsid w:val="006D3D74"/>
  </w:style>
  <w:style w:type="character" w:customStyle="1" w:styleId="FooterChar">
    <w:name w:val="Footer Char"/>
    <w:basedOn w:val="DefaultParagraphFont"/>
    <w:link w:val="Footer"/>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aliases w:val="Bullet list"/>
    <w:basedOn w:val="Normal"/>
    <w:link w:val="ListParagraphChar"/>
    <w:uiPriority w:val="34"/>
    <w:qFormat/>
    <w:rsid w:val="00BB32FE"/>
    <w:pPr>
      <w:numPr>
        <w:numId w:val="1"/>
      </w:numPr>
      <w:contextualSpacing/>
    </w:pPr>
  </w:style>
  <w:style w:type="numbering" w:customStyle="1" w:styleId="Multi-levellist">
    <w:name w:val="Multi-level list"/>
    <w:uiPriority w:val="99"/>
    <w:rsid w:val="00EA1464"/>
    <w:pPr>
      <w:numPr>
        <w:numId w:val="3"/>
      </w:numPr>
    </w:pPr>
  </w:style>
  <w:style w:type="character" w:customStyle="1" w:styleId="ListParagraphChar">
    <w:name w:val="List Paragraph Char"/>
    <w:aliases w:val="Bullet list Char"/>
    <w:basedOn w:val="DefaultParagraphFont"/>
    <w:link w:val="ListParagraph"/>
    <w:uiPriority w:val="11"/>
    <w:rsid w:val="0087259D"/>
  </w:style>
  <w:style w:type="paragraph" w:styleId="NoSpacing">
    <w:name w:val="No Spacing"/>
    <w:uiPriority w:val="1"/>
    <w:rsid w:val="00876D3B"/>
  </w:style>
  <w:style w:type="table" w:styleId="TableGrid">
    <w:name w:val="Table Grid"/>
    <w:basedOn w:val="TableNormal"/>
    <w:uiPriority w:val="39"/>
    <w:rsid w:val="000B06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ListParagraph"/>
    <w:link w:val="NumberedlistChar"/>
    <w:uiPriority w:val="13"/>
    <w:qFormat/>
    <w:rsid w:val="00FF745B"/>
    <w:pPr>
      <w:numPr>
        <w:numId w:val="19"/>
      </w:numPr>
    </w:pPr>
  </w:style>
  <w:style w:type="paragraph" w:customStyle="1" w:styleId="Tickbulletlist">
    <w:name w:val="Tick bullet list"/>
    <w:basedOn w:val="ListParagraph"/>
    <w:link w:val="TickbulletlistChar"/>
    <w:uiPriority w:val="12"/>
    <w:qFormat/>
    <w:rsid w:val="00E14C54"/>
    <w:pPr>
      <w:numPr>
        <w:numId w:val="21"/>
      </w:numPr>
    </w:pPr>
  </w:style>
  <w:style w:type="character" w:customStyle="1" w:styleId="NumberedlistChar">
    <w:name w:val="Numbered list Char"/>
    <w:basedOn w:val="ListParagraphChar"/>
    <w:link w:val="Numberedlist"/>
    <w:uiPriority w:val="13"/>
    <w:rsid w:val="00E14C54"/>
  </w:style>
  <w:style w:type="character" w:customStyle="1" w:styleId="TickbulletlistChar">
    <w:name w:val="Tick bullet list Char"/>
    <w:basedOn w:val="ListParagraphChar"/>
    <w:link w:val="Tickbulletlist"/>
    <w:uiPriority w:val="12"/>
    <w:rsid w:val="00E14C54"/>
  </w:style>
  <w:style w:type="character" w:styleId="UnresolvedMention">
    <w:name w:val="Unresolved Mention"/>
    <w:basedOn w:val="DefaultParagraphFont"/>
    <w:uiPriority w:val="99"/>
    <w:semiHidden/>
    <w:unhideWhenUsed/>
    <w:rsid w:val="00145672"/>
    <w:rPr>
      <w:color w:val="605E5C"/>
      <w:shd w:val="clear" w:color="auto" w:fill="E1DFDD"/>
    </w:rPr>
  </w:style>
  <w:style w:type="paragraph" w:styleId="BodyTextIndent">
    <w:name w:val="Body Text Indent"/>
    <w:basedOn w:val="Normal"/>
    <w:link w:val="BodyTextIndentChar"/>
    <w:uiPriority w:val="99"/>
    <w:semiHidden/>
    <w:unhideWhenUsed/>
    <w:rsid w:val="000369DA"/>
    <w:pPr>
      <w:spacing w:after="120"/>
      <w:ind w:left="283"/>
    </w:pPr>
  </w:style>
  <w:style w:type="character" w:customStyle="1" w:styleId="BodyTextIndentChar">
    <w:name w:val="Body Text Indent Char"/>
    <w:basedOn w:val="DefaultParagraphFont"/>
    <w:link w:val="BodyTextIndent"/>
    <w:uiPriority w:val="99"/>
    <w:semiHidden/>
    <w:rsid w:val="000369DA"/>
    <w:rPr>
      <w:lang w:val="en-GB"/>
    </w:rPr>
  </w:style>
  <w:style w:type="paragraph" w:customStyle="1" w:styleId="Text">
    <w:name w:val="Text"/>
    <w:basedOn w:val="Normal"/>
    <w:link w:val="TextChar"/>
    <w:rsid w:val="000369DA"/>
    <w:pPr>
      <w:spacing w:after="240"/>
    </w:pPr>
    <w:rPr>
      <w:rFonts w:ascii="Calibri" w:eastAsia="Times New Roman" w:hAnsi="Calibri" w:cs="Times New Roman"/>
      <w:szCs w:val="20"/>
      <w:lang w:val="sv-SE"/>
    </w:rPr>
  </w:style>
  <w:style w:type="character" w:customStyle="1" w:styleId="TextChar">
    <w:name w:val="Text Char"/>
    <w:link w:val="Text"/>
    <w:locked/>
    <w:rsid w:val="000369DA"/>
    <w:rPr>
      <w:rFonts w:ascii="Calibri" w:eastAsia="Times New Roman" w:hAnsi="Calibri" w:cs="Times New Roman"/>
      <w:szCs w:val="20"/>
      <w:lang w:val="sv-SE"/>
    </w:rPr>
  </w:style>
  <w:style w:type="paragraph" w:styleId="BodyText">
    <w:name w:val="Body Text"/>
    <w:basedOn w:val="Normal"/>
    <w:link w:val="BodyTextChar"/>
    <w:uiPriority w:val="99"/>
    <w:semiHidden/>
    <w:unhideWhenUsed/>
    <w:rsid w:val="000369DA"/>
    <w:pPr>
      <w:spacing w:after="120"/>
    </w:pPr>
  </w:style>
  <w:style w:type="character" w:customStyle="1" w:styleId="BodyTextChar">
    <w:name w:val="Body Text Char"/>
    <w:basedOn w:val="DefaultParagraphFont"/>
    <w:link w:val="BodyText"/>
    <w:uiPriority w:val="99"/>
    <w:semiHidden/>
    <w:rsid w:val="000369DA"/>
    <w:rPr>
      <w:lang w:val="en-GB"/>
    </w:rPr>
  </w:style>
  <w:style w:type="character" w:customStyle="1" w:styleId="ui-provider">
    <w:name w:val="ui-provider"/>
    <w:basedOn w:val="DefaultParagraphFont"/>
    <w:rsid w:val="00F2278B"/>
  </w:style>
  <w:style w:type="paragraph" w:styleId="NormalWeb">
    <w:name w:val="Normal (Web)"/>
    <w:basedOn w:val="Normal"/>
    <w:uiPriority w:val="99"/>
    <w:unhideWhenUsed/>
    <w:rsid w:val="00B743A2"/>
    <w:rPr>
      <w:rFonts w:ascii="Calibri" w:hAnsi="Calibri" w:cs="Calibri"/>
      <w:lang w:val="sv-SE" w:eastAsia="sv-SE"/>
    </w:rPr>
  </w:style>
  <w:style w:type="paragraph" w:styleId="Revision">
    <w:name w:val="Revision"/>
    <w:hidden/>
    <w:uiPriority w:val="99"/>
    <w:semiHidden/>
    <w:rsid w:val="00E9314A"/>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452909">
      <w:bodyDiv w:val="1"/>
      <w:marLeft w:val="0"/>
      <w:marRight w:val="0"/>
      <w:marTop w:val="0"/>
      <w:marBottom w:val="0"/>
      <w:divBdr>
        <w:top w:val="none" w:sz="0" w:space="0" w:color="auto"/>
        <w:left w:val="none" w:sz="0" w:space="0" w:color="auto"/>
        <w:bottom w:val="none" w:sz="0" w:space="0" w:color="auto"/>
        <w:right w:val="none" w:sz="0" w:space="0" w:color="auto"/>
      </w:divBdr>
    </w:div>
    <w:div w:id="376711154">
      <w:bodyDiv w:val="1"/>
      <w:marLeft w:val="0"/>
      <w:marRight w:val="0"/>
      <w:marTop w:val="0"/>
      <w:marBottom w:val="0"/>
      <w:divBdr>
        <w:top w:val="none" w:sz="0" w:space="0" w:color="auto"/>
        <w:left w:val="none" w:sz="0" w:space="0" w:color="auto"/>
        <w:bottom w:val="none" w:sz="0" w:space="0" w:color="auto"/>
        <w:right w:val="none" w:sz="0" w:space="0" w:color="auto"/>
      </w:divBdr>
    </w:div>
    <w:div w:id="1049455048">
      <w:bodyDiv w:val="1"/>
      <w:marLeft w:val="0"/>
      <w:marRight w:val="0"/>
      <w:marTop w:val="0"/>
      <w:marBottom w:val="0"/>
      <w:divBdr>
        <w:top w:val="none" w:sz="0" w:space="0" w:color="auto"/>
        <w:left w:val="none" w:sz="0" w:space="0" w:color="auto"/>
        <w:bottom w:val="none" w:sz="0" w:space="0" w:color="auto"/>
        <w:right w:val="none" w:sz="0" w:space="0" w:color="auto"/>
      </w:divBdr>
    </w:div>
    <w:div w:id="1130706060">
      <w:bodyDiv w:val="1"/>
      <w:marLeft w:val="0"/>
      <w:marRight w:val="0"/>
      <w:marTop w:val="0"/>
      <w:marBottom w:val="0"/>
      <w:divBdr>
        <w:top w:val="none" w:sz="0" w:space="0" w:color="auto"/>
        <w:left w:val="none" w:sz="0" w:space="0" w:color="auto"/>
        <w:bottom w:val="none" w:sz="0" w:space="0" w:color="auto"/>
        <w:right w:val="none" w:sz="0" w:space="0" w:color="auto"/>
      </w:divBdr>
    </w:div>
    <w:div w:id="1961454265">
      <w:bodyDiv w:val="1"/>
      <w:marLeft w:val="0"/>
      <w:marRight w:val="0"/>
      <w:marTop w:val="0"/>
      <w:marBottom w:val="0"/>
      <w:divBdr>
        <w:top w:val="none" w:sz="0" w:space="0" w:color="auto"/>
        <w:left w:val="none" w:sz="0" w:space="0" w:color="auto"/>
        <w:bottom w:val="none" w:sz="0" w:space="0" w:color="auto"/>
        <w:right w:val="none" w:sz="0" w:space="0" w:color="auto"/>
      </w:divBdr>
    </w:div>
    <w:div w:id="201375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sestsrv33\4C\Board\4C%20Board%20Meetings\General%20Meetings\230531\Notice\AGM@4cstrategies.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4C brand colours">
      <a:dk1>
        <a:srgbClr val="FFFFFF"/>
      </a:dk1>
      <a:lt1>
        <a:srgbClr val="FFFFFF"/>
      </a:lt1>
      <a:dk2>
        <a:srgbClr val="1B2A3C"/>
      </a:dk2>
      <a:lt2>
        <a:srgbClr val="3A6F91"/>
      </a:lt2>
      <a:accent1>
        <a:srgbClr val="3A6F91"/>
      </a:accent1>
      <a:accent2>
        <a:srgbClr val="F28F40"/>
      </a:accent2>
      <a:accent3>
        <a:srgbClr val="5B9BD4"/>
      </a:accent3>
      <a:accent4>
        <a:srgbClr val="7459A2"/>
      </a:accent4>
      <a:accent5>
        <a:srgbClr val="3C4557"/>
      </a:accent5>
      <a:accent6>
        <a:srgbClr val="3A6F91"/>
      </a:accent6>
      <a:hlink>
        <a:srgbClr val="3A6F91"/>
      </a:hlink>
      <a:folHlink>
        <a:srgbClr val="F28F4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7C9504-3A3A-4C73-A180-A38989CDC987}">
  <ds:schemaRefs>
    <ds:schemaRef ds:uri="http://schemas.openxmlformats.org/officeDocument/2006/bibliography"/>
  </ds:schemaRefs>
</ds:datastoreItem>
</file>

<file path=customXml/itemProps4.xml><?xml version="1.0" encoding="utf-8"?>
<ds:datastoreItem xmlns:ds="http://schemas.openxmlformats.org/officeDocument/2006/customXml" ds:itemID="{7FBDB1CC-CEFB-4E46-8174-1F0AA0D30B24}">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purl.org/dc/terms/"/>
    <ds:schemaRef ds:uri="4873beb7-5857-4685-be1f-d57550cc96cc"/>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9</Pages>
  <Words>3749</Words>
  <Characters>21373</Characters>
  <Application>Microsoft Office Word</Application>
  <DocSecurity>0</DocSecurity>
  <Lines>178</Lines>
  <Paragraphs>50</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25072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Skytte</dc:creator>
  <cp:keywords/>
  <dc:description/>
  <cp:lastModifiedBy>Jessica Skytte</cp:lastModifiedBy>
  <cp:revision>7</cp:revision>
  <cp:lastPrinted>2024-04-09T09:21:00Z</cp:lastPrinted>
  <dcterms:created xsi:type="dcterms:W3CDTF">2025-04-02T14:15:00Z</dcterms:created>
  <dcterms:modified xsi:type="dcterms:W3CDTF">2025-04-16T11:18:00Z</dcterms:modified>
</cp:coreProperties>
</file>